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0BF76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E39D4D2">
            <w:pPr>
              <w:pStyle w:val="19"/>
              <w:framePr w:wrap="notBeside" w:vAnchor="page" w:hAnchor="page" w:x="1372" w:y="568"/>
              <w:tabs>
                <w:tab w:val="clear" w:pos="4153"/>
                <w:tab w:val="clear" w:pos="8306"/>
              </w:tabs>
              <w:spacing w:line="240" w:lineRule="auto"/>
              <w:jc w:val="left"/>
              <w:rPr>
                <w:rFonts w:ascii="黑体" w:hAnsi="黑体" w:eastAsia="黑体"/>
                <w:kern w:val="0"/>
                <w:sz w:val="21"/>
                <w:szCs w:val="21"/>
              </w:rPr>
            </w:pPr>
            <w:bookmarkStart w:id="0" w:name="_Hlk140063176"/>
            <w:bookmarkEnd w:id="0"/>
            <w:r>
              <w:rPr>
                <w:rFonts w:ascii="Times New Roman" w:hAnsi="Times New Roman" w:eastAsia="黑体"/>
                <w:kern w:val="0"/>
                <w:sz w:val="21"/>
                <w:szCs w:val="21"/>
              </w:rPr>
              <w:t>ICS</w:t>
            </w:r>
          </w:p>
        </w:tc>
        <w:tc>
          <w:tcPr>
            <w:tcW w:w="8855" w:type="dxa"/>
          </w:tcPr>
          <w:p w14:paraId="0BA67587">
            <w:pPr>
              <w:pStyle w:val="19"/>
              <w:framePr w:wrap="notBeside" w:vAnchor="page" w:hAnchor="page" w:x="1372" w:y="568"/>
              <w:tabs>
                <w:tab w:val="clear" w:pos="4153"/>
                <w:tab w:val="clear" w:pos="8306"/>
              </w:tabs>
              <w:spacing w:line="240" w:lineRule="auto"/>
              <w:jc w:val="both"/>
              <w:rPr>
                <w:rFonts w:ascii="黑体" w:hAnsi="黑体" w:eastAsia="黑体"/>
                <w:kern w:val="0"/>
                <w:sz w:val="21"/>
                <w:szCs w:val="21"/>
              </w:rPr>
            </w:pPr>
            <w:r>
              <w:rPr>
                <w:rFonts w:ascii="黑体" w:hAnsi="黑体" w:eastAsia="黑体"/>
                <w:kern w:val="0"/>
                <w:sz w:val="21"/>
                <w:szCs w:val="21"/>
              </w:rPr>
              <w:fldChar w:fldCharType="begin">
                <w:ffData>
                  <w:name w:val="ICS"/>
                  <w:enabled/>
                  <w:calcOnExit w:val="0"/>
                  <w:textInput>
                    <w:default w:val="29.180"/>
                  </w:textInput>
                </w:ffData>
              </w:fldChar>
            </w:r>
            <w:bookmarkStart w:id="1" w:name="ICS"/>
            <w:r>
              <w:rPr>
                <w:rFonts w:ascii="黑体" w:hAnsi="黑体" w:eastAsia="黑体"/>
                <w:kern w:val="0"/>
                <w:sz w:val="21"/>
                <w:szCs w:val="21"/>
              </w:rPr>
              <w:instrText xml:space="preserve"> </w:instrText>
            </w:r>
            <w:r>
              <w:rPr>
                <w:rFonts w:hint="eastAsia" w:ascii="黑体" w:hAnsi="黑体" w:eastAsia="黑体"/>
                <w:kern w:val="0"/>
                <w:sz w:val="21"/>
                <w:szCs w:val="21"/>
              </w:rPr>
              <w:instrText xml:space="preserve">FORMTEXT</w:instrText>
            </w:r>
            <w:r>
              <w:rPr>
                <w:rFonts w:ascii="黑体" w:hAnsi="黑体" w:eastAsia="黑体"/>
                <w:kern w:val="0"/>
                <w:sz w:val="21"/>
                <w:szCs w:val="21"/>
              </w:rPr>
              <w:instrText xml:space="preserve"> </w:instrText>
            </w:r>
            <w:r>
              <w:rPr>
                <w:rFonts w:ascii="黑体" w:hAnsi="黑体" w:eastAsia="黑体"/>
                <w:kern w:val="0"/>
                <w:sz w:val="21"/>
                <w:szCs w:val="21"/>
              </w:rPr>
              <w:fldChar w:fldCharType="separate"/>
            </w:r>
            <w:r>
              <w:rPr>
                <w:rFonts w:ascii="黑体" w:hAnsi="黑体" w:eastAsia="黑体"/>
                <w:kern w:val="0"/>
                <w:sz w:val="21"/>
                <w:szCs w:val="21"/>
              </w:rPr>
              <w:t>29.180</w:t>
            </w:r>
            <w:r>
              <w:rPr>
                <w:rFonts w:ascii="黑体" w:hAnsi="黑体" w:eastAsia="黑体"/>
                <w:kern w:val="0"/>
                <w:sz w:val="21"/>
                <w:szCs w:val="21"/>
              </w:rPr>
              <w:fldChar w:fldCharType="end"/>
            </w:r>
            <w:bookmarkEnd w:id="1"/>
          </w:p>
        </w:tc>
      </w:tr>
      <w:tr w14:paraId="03F44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DE899B7">
            <w:pPr>
              <w:pStyle w:val="19"/>
              <w:framePr w:wrap="notBeside" w:vAnchor="page" w:hAnchor="page" w:x="1372" w:y="568"/>
              <w:tabs>
                <w:tab w:val="clear" w:pos="4153"/>
                <w:tab w:val="clear" w:pos="8306"/>
              </w:tabs>
              <w:spacing w:before="40" w:line="240" w:lineRule="auto"/>
              <w:jc w:val="left"/>
              <w:rPr>
                <w:rFonts w:ascii="黑体" w:hAnsi="黑体" w:eastAsia="黑体"/>
                <w:kern w:val="0"/>
                <w:sz w:val="21"/>
                <w:szCs w:val="21"/>
              </w:rPr>
            </w:pPr>
            <w:r>
              <w:rPr>
                <w:rFonts w:ascii="Times New Roman" w:hAnsi="Times New Roman" w:eastAsia="黑体"/>
                <w:kern w:val="0"/>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C4106A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4F5DCAFC">
                  <w:pPr>
                    <w:pStyle w:val="57"/>
                    <w:framePr w:wrap="notBeside" w:vAnchor="page" w:hAnchor="page" w:x="1372" w:y="568"/>
                    <w:ind w:left="420" w:right="624"/>
                    <w:rPr>
                      <w:rFonts w:ascii="宋体" w:hAnsi="宋体"/>
                      <w:sz w:val="28"/>
                      <w:szCs w:val="28"/>
                    </w:rPr>
                  </w:pPr>
                  <w:r>
                    <w:rPr>
                      <w:rFonts w:hint="eastAsia" w:ascii="黑体" w:hAnsi="黑体" w:eastAsia="黑体" w:cs="黑体"/>
                      <w:szCs w:val="22"/>
                      <w:lang w:eastAsia="zh-CN"/>
                    </w:rPr>
                    <w:drawing>
                      <wp:anchor distT="0" distB="0" distL="114300" distR="114300" simplePos="0" relativeHeight="251693056"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9" name="图片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OGO"/>
                                <pic:cNvPicPr>
                                  <a:picLocks noChangeAspect="1"/>
                                </pic:cNvPicPr>
                              </pic:nvPicPr>
                              <pic:blipFill>
                                <a:blip r:embed="rId21"/>
                                <a:stretch>
                                  <a:fillRect/>
                                </a:stretch>
                              </pic:blipFill>
                              <pic:spPr>
                                <a:xfrm>
                                  <a:off x="0" y="0"/>
                                  <a:ext cx="1048385" cy="1048385"/>
                                </a:xfrm>
                                <a:prstGeom prst="rect">
                                  <a:avLst/>
                                </a:prstGeom>
                              </pic:spPr>
                            </pic:pic>
                          </a:graphicData>
                        </a:graphic>
                      </wp:anchor>
                    </w:drawing>
                  </w:r>
                </w:p>
              </w:tc>
            </w:tr>
          </w:tbl>
          <w:p w14:paraId="45A91E18">
            <w:pPr>
              <w:pStyle w:val="19"/>
              <w:framePr w:wrap="notBeside" w:vAnchor="page" w:hAnchor="page" w:x="1372" w:y="568"/>
              <w:tabs>
                <w:tab w:val="clear" w:pos="4153"/>
                <w:tab w:val="clear" w:pos="8306"/>
              </w:tabs>
              <w:spacing w:before="40" w:line="240" w:lineRule="auto"/>
              <w:jc w:val="left"/>
              <w:rPr>
                <w:rFonts w:ascii="黑体" w:hAnsi="黑体" w:eastAsia="黑体"/>
                <w:kern w:val="0"/>
                <w:sz w:val="21"/>
                <w:szCs w:val="21"/>
              </w:rPr>
            </w:pPr>
            <w:r>
              <w:rPr>
                <w:rFonts w:ascii="黑体" w:hAnsi="黑体" w:eastAsia="黑体"/>
                <w:kern w:val="0"/>
                <w:sz w:val="21"/>
                <w:szCs w:val="21"/>
              </w:rPr>
              <w:fldChar w:fldCharType="begin">
                <w:ffData>
                  <w:name w:val="CSDN"/>
                  <w:enabled/>
                  <w:calcOnExit w:val="0"/>
                  <w:textInput>
                    <w:default w:val="K 41"/>
                  </w:textInput>
                </w:ffData>
              </w:fldChar>
            </w:r>
            <w:bookmarkStart w:id="2" w:name="CSDN"/>
            <w:r>
              <w:rPr>
                <w:rFonts w:ascii="黑体" w:hAnsi="黑体" w:eastAsia="黑体"/>
                <w:kern w:val="0"/>
                <w:sz w:val="21"/>
                <w:szCs w:val="21"/>
              </w:rPr>
              <w:instrText xml:space="preserve"> </w:instrText>
            </w:r>
            <w:r>
              <w:rPr>
                <w:rFonts w:hint="eastAsia" w:ascii="黑体" w:hAnsi="黑体" w:eastAsia="黑体"/>
                <w:kern w:val="0"/>
                <w:sz w:val="21"/>
                <w:szCs w:val="21"/>
              </w:rPr>
              <w:instrText xml:space="preserve">FORMTEXT</w:instrText>
            </w:r>
            <w:r>
              <w:rPr>
                <w:rFonts w:ascii="黑体" w:hAnsi="黑体" w:eastAsia="黑体"/>
                <w:kern w:val="0"/>
                <w:sz w:val="21"/>
                <w:szCs w:val="21"/>
              </w:rPr>
              <w:instrText xml:space="preserve"> </w:instrText>
            </w:r>
            <w:r>
              <w:rPr>
                <w:rFonts w:ascii="黑体" w:hAnsi="黑体" w:eastAsia="黑体"/>
                <w:kern w:val="0"/>
                <w:sz w:val="21"/>
                <w:szCs w:val="21"/>
              </w:rPr>
              <w:fldChar w:fldCharType="separate"/>
            </w:r>
            <w:r>
              <w:rPr>
                <w:rFonts w:ascii="黑体" w:hAnsi="黑体" w:eastAsia="黑体"/>
                <w:kern w:val="0"/>
                <w:sz w:val="21"/>
                <w:szCs w:val="21"/>
              </w:rPr>
              <w:t>K 41</w:t>
            </w:r>
            <w:r>
              <w:rPr>
                <w:rFonts w:ascii="黑体" w:hAnsi="黑体" w:eastAsia="黑体"/>
                <w:kern w:val="0"/>
                <w:sz w:val="21"/>
                <w:szCs w:val="21"/>
              </w:rPr>
              <w:fldChar w:fldCharType="end"/>
            </w:r>
            <w:bookmarkEnd w:id="2"/>
          </w:p>
        </w:tc>
      </w:tr>
    </w:tbl>
    <w:p w14:paraId="4D7AF434">
      <w:pPr>
        <w:pStyle w:val="58"/>
        <w:framePr w:w="9639" w:h="624" w:hRule="exact" w:hSpace="181" w:vSpace="181" w:wrap="around" w:hAnchor="page" w:x="1305" w:y="2269"/>
        <w:rPr>
          <w:rFonts w:ascii="黑体" w:hAnsi="黑体" w:eastAsia="黑体"/>
          <w:b w:val="0"/>
          <w:bCs w:val="0"/>
          <w:w w:val="100"/>
          <w:sz w:val="48"/>
          <w:szCs w:val="48"/>
        </w:rPr>
      </w:pPr>
      <w:bookmarkStart w:id="3"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00F73E52">
      <w:pPr>
        <w:pStyle w:val="201"/>
        <w:framePr w:wrap="around"/>
      </w:pPr>
      <w:r>
        <w:t>T/</w:t>
      </w:r>
      <w:bookmarkStart w:id="4"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4"/>
      <w:r>
        <w:rPr>
          <w:rFonts w:hint="eastAsia"/>
        </w:rPr>
        <w:t xml:space="preserve"> </w:t>
      </w:r>
      <w:r>
        <w:fldChar w:fldCharType="begin">
          <w:ffData>
            <w:name w:val="NSTD_CODE_F"/>
            <w:enabled/>
            <w:calcOnExit w:val="0"/>
            <w:textInput>
              <w:default w:val="XXX"/>
            </w:textInput>
          </w:ffData>
        </w:fldChar>
      </w:r>
      <w:bookmarkStart w:id="5" w:name="NSTD_CODE_F"/>
      <w:r>
        <w:instrText xml:space="preserve"> FORMTEXT </w:instrText>
      </w:r>
      <w:r>
        <w:fldChar w:fldCharType="separate"/>
      </w:r>
      <w:r>
        <w:t>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281E7195">
      <w:pPr>
        <w:pStyle w:val="202"/>
        <w:framePr w:wrap="around"/>
        <w:rPr>
          <w:rFonts w:hAnsi="黑体"/>
        </w:rPr>
      </w:pPr>
    </w:p>
    <w:p w14:paraId="32F837E6">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540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540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77853E91">
      <w:pPr>
        <w:pStyle w:val="58"/>
        <w:framePr w:w="9639" w:h="6976" w:hRule="exact" w:hSpace="0" w:vSpace="0" w:wrap="around" w:hAnchor="page" w:y="6408"/>
        <w:jc w:val="center"/>
        <w:rPr>
          <w:rFonts w:ascii="黑体" w:hAnsi="黑体" w:eastAsia="黑体"/>
          <w:b w:val="0"/>
          <w:bCs w:val="0"/>
          <w:w w:val="100"/>
        </w:rPr>
      </w:pPr>
    </w:p>
    <w:p w14:paraId="4DBE3839">
      <w:pPr>
        <w:pStyle w:val="203"/>
        <w:framePr w:h="6974" w:hRule="exact" w:wrap="around" w:x="1419" w:anchorLock="1"/>
      </w:pPr>
      <w:bookmarkStart w:id="7" w:name="CSTD_NAME"/>
      <w:bookmarkStart w:id="221" w:name="_GoBack"/>
      <w:bookmarkEnd w:id="221"/>
      <w:r>
        <w:rPr>
          <w:rFonts w:ascii="黑体" w:hAnsi="黑体" w:eastAsia="黑体" w:cs="Times New Roman"/>
          <w:bCs/>
          <w:sz w:val="52"/>
          <w:lang w:val="en-US" w:eastAsia="zh-CN" w:bidi="ar-SA"/>
        </w:rPr>
        <w:fldChar w:fldCharType="begin">
          <w:ffData>
            <w:name w:val="CSTD_NAME"/>
            <w:enabled/>
            <w:calcOnExit w:val="0"/>
            <w:textInput>
              <w:default w:val="固态变压器 第1部分：光伏并网用固态变压器"/>
            </w:textInput>
          </w:ffData>
        </w:fldChar>
      </w:r>
      <w:r>
        <w:rPr>
          <w:rFonts w:ascii="黑体" w:hAnsi="黑体" w:eastAsia="黑体" w:cs="Times New Roman"/>
          <w:bCs/>
          <w:sz w:val="52"/>
          <w:lang w:val="en-US" w:eastAsia="zh-CN" w:bidi="ar-SA"/>
        </w:rPr>
        <w:instrText xml:space="preserve">FORMTEXT</w:instrText>
      </w:r>
      <w:r>
        <w:rPr>
          <w:rFonts w:ascii="黑体" w:hAnsi="黑体" w:eastAsia="黑体" w:cs="Times New Roman"/>
          <w:bCs/>
          <w:sz w:val="52"/>
          <w:lang w:val="en-US" w:eastAsia="zh-CN" w:bidi="ar-SA"/>
        </w:rPr>
        <w:fldChar w:fldCharType="separate"/>
      </w:r>
      <w:r>
        <w:rPr>
          <w:rFonts w:ascii="黑体" w:hAnsi="黑体" w:eastAsia="黑体" w:cs="Times New Roman"/>
          <w:bCs/>
          <w:sz w:val="52"/>
          <w:lang w:val="en-US" w:eastAsia="zh-CN" w:bidi="ar-SA"/>
        </w:rPr>
        <w:t>固态变压器 第1部分：光伏并网用固态变压器</w:t>
      </w:r>
      <w:r>
        <w:rPr>
          <w:rFonts w:ascii="黑体" w:hAnsi="黑体" w:eastAsia="黑体" w:cs="Times New Roman"/>
          <w:bCs/>
          <w:sz w:val="52"/>
          <w:lang w:val="en-US" w:eastAsia="zh-CN" w:bidi="ar-SA"/>
        </w:rPr>
        <w:fldChar w:fldCharType="end"/>
      </w:r>
      <w:bookmarkEnd w:id="7"/>
    </w:p>
    <w:p w14:paraId="157FC863">
      <w:pPr>
        <w:framePr w:w="9639" w:h="6974" w:hRule="exact" w:wrap="around" w:vAnchor="page" w:hAnchor="page" w:x="1419" w:y="6408" w:anchorLock="1"/>
        <w:ind w:left="-1418"/>
      </w:pPr>
    </w:p>
    <w:p w14:paraId="62374419">
      <w:pPr>
        <w:pStyle w:val="131"/>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Solid State Transformers - Part 1: Solid State Transformers for Photovoltaic Grid Connection"/>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Solid State Transformers - Part 1: Solid State Transformers for Photovoltaic Grid Connection</w:t>
      </w:r>
      <w:r>
        <w:rPr>
          <w:rFonts w:eastAsia="黑体"/>
          <w:szCs w:val="28"/>
        </w:rPr>
        <w:fldChar w:fldCharType="end"/>
      </w:r>
      <w:bookmarkEnd w:id="8"/>
    </w:p>
    <w:p w14:paraId="7D3C4D84">
      <w:pPr>
        <w:framePr w:w="9639" w:h="6974" w:hRule="exact" w:wrap="around" w:vAnchor="page" w:hAnchor="page" w:x="1419" w:y="6408" w:anchorLock="1"/>
        <w:spacing w:line="760" w:lineRule="exact"/>
        <w:ind w:left="-1418"/>
      </w:pPr>
    </w:p>
    <w:p w14:paraId="0D76CA60">
      <w:pPr>
        <w:pStyle w:val="131"/>
        <w:framePr w:w="9639" w:h="6974" w:hRule="exact" w:wrap="around" w:vAnchor="page" w:hAnchor="page" w:x="1419" w:y="6408" w:anchorLock="1"/>
        <w:textAlignment w:val="bottom"/>
        <w:rPr>
          <w:rFonts w:eastAsia="黑体"/>
          <w:szCs w:val="28"/>
        </w:rPr>
      </w:pPr>
    </w:p>
    <w:p w14:paraId="213E7D73">
      <w:pPr>
        <w:pStyle w:val="131"/>
        <w:framePr w:w="9639" w:h="6974" w:hRule="exact" w:wrap="around" w:vAnchor="page" w:hAnchor="page" w:x="1419" w:y="6408" w:anchorLock="1"/>
        <w:spacing w:before="440" w:after="160"/>
        <w:textAlignment w:val="bottom"/>
        <w:rPr>
          <w:sz w:val="24"/>
          <w:szCs w:val="28"/>
        </w:rPr>
      </w:pPr>
      <w:r>
        <w:rPr>
          <w:rFonts w:hint="eastAsia" w:eastAsia="黑体"/>
          <w:szCs w:val="28"/>
        </w:rPr>
        <w:t>（征求意见稿）</w:t>
      </w:r>
    </w:p>
    <w:p w14:paraId="755F5D92">
      <w:pPr>
        <w:pStyle w:val="131"/>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Pr>
          <w:b/>
          <w:sz w:val="21"/>
          <w:szCs w:val="28"/>
        </w:rPr>
        <w:fldChar w:fldCharType="separate"/>
      </w:r>
      <w:r>
        <w:rPr>
          <w:b/>
          <w:sz w:val="21"/>
          <w:szCs w:val="28"/>
        </w:rPr>
        <w:fldChar w:fldCharType="end"/>
      </w:r>
      <w:bookmarkEnd w:id="9"/>
    </w:p>
    <w:p w14:paraId="66959E1A">
      <w:pPr>
        <w:pStyle w:val="199"/>
        <w:framePr w:wrap="around" w:y="14176"/>
      </w:pPr>
      <w:bookmarkStart w:id="10" w:name="PLSH_DATE_Y"/>
      <w:r>
        <w:rPr>
          <w:rFonts w:ascii="黑体"/>
        </w:rPr>
        <w:fldChar w:fldCharType="begin">
          <w:ffData>
            <w:name w:val="PLSH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0"/>
      <w:r>
        <w:rPr>
          <w:rFonts w:ascii="黑体"/>
        </w:rPr>
        <w:t>-</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ascii="黑体"/>
        </w:rPr>
        <w:t>-</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发布</w:t>
      </w:r>
    </w:p>
    <w:p w14:paraId="14DF3339">
      <w:pPr>
        <w:pStyle w:val="200"/>
        <w:framePr w:wrap="around" w:y="14176"/>
      </w:pPr>
      <w:bookmarkStart w:id="13" w:name="CROT_DATE_Y"/>
      <w:r>
        <w:rPr>
          <w:rFonts w:ascii="黑体"/>
        </w:rPr>
        <w:fldChar w:fldCharType="begin">
          <w:ffData>
            <w:name w:val="CROT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3"/>
      <w:r>
        <w:rPr>
          <w:rFonts w:ascii="黑体"/>
        </w:rPr>
        <w:t>-</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ascii="黑体"/>
        </w:rPr>
        <w:t>-</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实施</w:t>
      </w:r>
    </w:p>
    <w:p w14:paraId="51BCDB23">
      <w:pPr>
        <w:pStyle w:val="157"/>
        <w:framePr w:h="584" w:hRule="exact" w:hSpace="181" w:vSpace="181" w:wrap="around" w:vAnchor="page" w:y="14727"/>
        <w:rPr>
          <w:rFonts w:hAnsi="黑体"/>
        </w:rPr>
      </w:pPr>
      <w:bookmarkStart w:id="16"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6"/>
      <w:r>
        <w:rPr>
          <w:rFonts w:ascii="Times New Roman"/>
          <w:w w:val="100"/>
          <w:sz w:val="28"/>
        </w:rPr>
        <w:t>  </w:t>
      </w:r>
      <w:r>
        <w:rPr>
          <w:rStyle w:val="235"/>
          <w:rFonts w:hint="eastAsia" w:hAnsi="黑体"/>
        </w:rPr>
        <w:t>发布</w:t>
      </w:r>
    </w:p>
    <w:p w14:paraId="552FA7DA">
      <w:pPr>
        <w:rPr>
          <w:rFonts w:ascii="宋体" w:hAnsi="宋体"/>
          <w:sz w:val="28"/>
          <w:szCs w:val="28"/>
        </w:rPr>
        <w:sectPr>
          <w:headerReference r:id="rId6" w:type="first"/>
          <w:footerReference r:id="rId8" w:type="first"/>
          <w:headerReference r:id="rId5" w:type="default"/>
          <w:footerReference r:id="rId7" w:type="even"/>
          <w:pgSz w:w="11906" w:h="16838"/>
          <w:pgMar w:top="567" w:right="1134" w:bottom="1134" w:left="1417" w:header="1418" w:footer="1134" w:gutter="283"/>
          <w:pgBorders>
            <w:top w:val="none" w:sz="0" w:space="0"/>
            <w:left w:val="none" w:sz="0" w:space="0"/>
            <w:bottom w:val="none" w:sz="0" w:space="0"/>
            <w:right w:val="none" w:sz="0" w:space="0"/>
          </w:pgBorders>
          <w:cols w:space="0" w:num="1"/>
          <w:docGrid w:linePitch="312" w:charSpace="0"/>
        </w:sectPr>
      </w:pPr>
      <w:r>
        <w:rPr>
          <w:rFonts w:ascii="宋体" w:hAnsi="宋体"/>
          <w:sz w:val="28"/>
          <w:szCs w:val="28"/>
        </w:rPr>
        <mc:AlternateContent>
          <mc:Choice Requires="wps">
            <w:drawing>
              <wp:anchor distT="0" distB="0" distL="114300" distR="114300" simplePos="0" relativeHeight="25166643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643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04743BE">
      <w:pPr>
        <w:pStyle w:val="98"/>
        <w:spacing w:after="360"/>
      </w:pPr>
      <w:bookmarkStart w:id="17" w:name="BookMark1"/>
      <w:bookmarkStart w:id="18" w:name="_Toc150158739"/>
      <w:bookmarkStart w:id="19" w:name="_Toc150158766"/>
      <w:bookmarkStart w:id="20" w:name="_Toc148612844"/>
      <w:r>
        <w:rPr>
          <w:rFonts w:hint="eastAsia"/>
          <w:spacing w:val="320"/>
        </w:rPr>
        <w:t>目</w:t>
      </w:r>
      <w:r>
        <w:rPr>
          <w:rFonts w:hint="eastAsia"/>
        </w:rPr>
        <w:t>次</w:t>
      </w:r>
    </w:p>
    <w:p w14:paraId="3760F77E">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_Toc2626 </w:instrText>
      </w:r>
      <w:r>
        <w:fldChar w:fldCharType="separate"/>
      </w:r>
      <w:r>
        <w:rPr>
          <w:rFonts w:hint="eastAsia"/>
          <w:spacing w:val="320"/>
        </w:rPr>
        <w:t>前</w:t>
      </w:r>
      <w:r>
        <w:rPr>
          <w:rFonts w:hint="eastAsia"/>
        </w:rPr>
        <w:t>言</w:t>
      </w:r>
      <w:r>
        <w:tab/>
      </w:r>
      <w:r>
        <w:fldChar w:fldCharType="begin"/>
      </w:r>
      <w:r>
        <w:instrText xml:space="preserve"> PAGEREF _Toc2626 \h </w:instrText>
      </w:r>
      <w:r>
        <w:fldChar w:fldCharType="separate"/>
      </w:r>
      <w:r>
        <w:t>III</w:t>
      </w:r>
      <w:r>
        <w:fldChar w:fldCharType="end"/>
      </w:r>
      <w:r>
        <w:fldChar w:fldCharType="end"/>
      </w:r>
    </w:p>
    <w:p w14:paraId="3AC577EB">
      <w:pPr>
        <w:pStyle w:val="20"/>
        <w:tabs>
          <w:tab w:val="right" w:leader="dot" w:pos="9355"/>
        </w:tabs>
      </w:pPr>
      <w:r>
        <w:fldChar w:fldCharType="begin"/>
      </w:r>
      <w:r>
        <w:instrText xml:space="preserve"> HYPERLINK \l _Toc8003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_Toc8003 \h </w:instrText>
      </w:r>
      <w:r>
        <w:fldChar w:fldCharType="separate"/>
      </w:r>
      <w:r>
        <w:t>4</w:t>
      </w:r>
      <w:r>
        <w:fldChar w:fldCharType="end"/>
      </w:r>
      <w:r>
        <w:fldChar w:fldCharType="end"/>
      </w:r>
    </w:p>
    <w:p w14:paraId="7975C1AF">
      <w:pPr>
        <w:pStyle w:val="20"/>
        <w:tabs>
          <w:tab w:val="right" w:leader="dot" w:pos="9355"/>
        </w:tabs>
      </w:pPr>
      <w:r>
        <w:fldChar w:fldCharType="begin"/>
      </w:r>
      <w:r>
        <w:instrText xml:space="preserve"> HYPERLINK \l _Toc1909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_Toc1909 \h </w:instrText>
      </w:r>
      <w:r>
        <w:fldChar w:fldCharType="separate"/>
      </w:r>
      <w:r>
        <w:t>4</w:t>
      </w:r>
      <w:r>
        <w:fldChar w:fldCharType="end"/>
      </w:r>
      <w:r>
        <w:fldChar w:fldCharType="end"/>
      </w:r>
    </w:p>
    <w:p w14:paraId="0B45EC1C">
      <w:pPr>
        <w:pStyle w:val="20"/>
        <w:tabs>
          <w:tab w:val="right" w:leader="dot" w:pos="9355"/>
        </w:tabs>
      </w:pPr>
      <w:r>
        <w:fldChar w:fldCharType="begin"/>
      </w:r>
      <w:r>
        <w:instrText xml:space="preserve"> HYPERLINK \l _Toc557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_Toc557 \h </w:instrText>
      </w:r>
      <w:r>
        <w:fldChar w:fldCharType="separate"/>
      </w:r>
      <w:r>
        <w:t>4</w:t>
      </w:r>
      <w:r>
        <w:fldChar w:fldCharType="end"/>
      </w:r>
      <w:r>
        <w:fldChar w:fldCharType="end"/>
      </w:r>
    </w:p>
    <w:p w14:paraId="75C3027B">
      <w:pPr>
        <w:pStyle w:val="20"/>
        <w:tabs>
          <w:tab w:val="right" w:leader="dot" w:pos="9355"/>
        </w:tabs>
      </w:pPr>
      <w:r>
        <w:fldChar w:fldCharType="begin"/>
      </w:r>
      <w:r>
        <w:instrText xml:space="preserve"> HYPERLINK \l _Toc15687 </w:instrText>
      </w:r>
      <w:r>
        <w:fldChar w:fldCharType="separate"/>
      </w:r>
      <w:r>
        <w:rPr>
          <w:rFonts w:hint="eastAsia" w:ascii="黑体" w:eastAsia="黑体"/>
          <w:i w:val="0"/>
        </w:rPr>
        <w:t xml:space="preserve">4 </w:t>
      </w:r>
      <w:r>
        <w:rPr>
          <w:rFonts w:hint="eastAsia"/>
        </w:rPr>
        <w:t>略缩语</w:t>
      </w:r>
      <w:r>
        <w:tab/>
      </w:r>
      <w:r>
        <w:fldChar w:fldCharType="begin"/>
      </w:r>
      <w:r>
        <w:instrText xml:space="preserve"> PAGEREF _Toc15687 \h </w:instrText>
      </w:r>
      <w:r>
        <w:fldChar w:fldCharType="separate"/>
      </w:r>
      <w:r>
        <w:t>5</w:t>
      </w:r>
      <w:r>
        <w:fldChar w:fldCharType="end"/>
      </w:r>
      <w:r>
        <w:fldChar w:fldCharType="end"/>
      </w:r>
    </w:p>
    <w:p w14:paraId="7445F320">
      <w:pPr>
        <w:pStyle w:val="20"/>
        <w:tabs>
          <w:tab w:val="right" w:leader="dot" w:pos="9355"/>
        </w:tabs>
      </w:pPr>
      <w:r>
        <w:fldChar w:fldCharType="begin"/>
      </w:r>
      <w:r>
        <w:instrText xml:space="preserve"> HYPERLINK \l _Toc31397 </w:instrText>
      </w:r>
      <w:r>
        <w:fldChar w:fldCharType="separate"/>
      </w:r>
      <w:r>
        <w:rPr>
          <w:rFonts w:hint="eastAsia" w:ascii="黑体" w:eastAsia="黑体"/>
          <w:i w:val="0"/>
        </w:rPr>
        <w:t xml:space="preserve">5 </w:t>
      </w:r>
      <w:r>
        <w:rPr>
          <w:rFonts w:hint="eastAsia"/>
          <w:highlight w:val="none"/>
        </w:rPr>
        <w:t>光伏并网用固态变压器分类</w:t>
      </w:r>
      <w:r>
        <w:rPr>
          <w:rFonts w:hint="eastAsia"/>
          <w:highlight w:val="none"/>
          <w:lang w:val="en-US" w:eastAsia="zh-CN"/>
        </w:rPr>
        <w:t>及系统组成</w:t>
      </w:r>
      <w:r>
        <w:tab/>
      </w:r>
      <w:r>
        <w:fldChar w:fldCharType="begin"/>
      </w:r>
      <w:r>
        <w:instrText xml:space="preserve"> PAGEREF _Toc31397 \h </w:instrText>
      </w:r>
      <w:r>
        <w:fldChar w:fldCharType="separate"/>
      </w:r>
      <w:r>
        <w:t>5</w:t>
      </w:r>
      <w:r>
        <w:fldChar w:fldCharType="end"/>
      </w:r>
      <w:r>
        <w:fldChar w:fldCharType="end"/>
      </w:r>
    </w:p>
    <w:p w14:paraId="502780AD">
      <w:pPr>
        <w:pStyle w:val="25"/>
        <w:tabs>
          <w:tab w:val="right" w:leader="dot" w:pos="9355"/>
          <w:tab w:val="clear" w:pos="9344"/>
        </w:tabs>
      </w:pPr>
      <w:r>
        <w:fldChar w:fldCharType="begin"/>
      </w:r>
      <w:r>
        <w:instrText xml:space="preserve"> HYPERLINK \l _Toc25912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rPr>
        <w:t>按交流输出相数分类：</w:t>
      </w:r>
      <w:r>
        <w:tab/>
      </w:r>
      <w:r>
        <w:fldChar w:fldCharType="begin"/>
      </w:r>
      <w:r>
        <w:instrText xml:space="preserve"> PAGEREF _Toc25912 \h </w:instrText>
      </w:r>
      <w:r>
        <w:fldChar w:fldCharType="separate"/>
      </w:r>
      <w:r>
        <w:t>5</w:t>
      </w:r>
      <w:r>
        <w:fldChar w:fldCharType="end"/>
      </w:r>
      <w:r>
        <w:fldChar w:fldCharType="end"/>
      </w:r>
    </w:p>
    <w:p w14:paraId="0BB40A9F">
      <w:pPr>
        <w:pStyle w:val="25"/>
        <w:tabs>
          <w:tab w:val="right" w:leader="dot" w:pos="9355"/>
          <w:tab w:val="clear" w:pos="9344"/>
        </w:tabs>
      </w:pPr>
      <w:r>
        <w:fldChar w:fldCharType="begin"/>
      </w:r>
      <w:r>
        <w:instrText xml:space="preserve"> HYPERLINK \l _Toc12651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5.2 </w:t>
      </w:r>
      <w:r>
        <w:rPr>
          <w:rFonts w:hint="eastAsia"/>
        </w:rPr>
        <w:t>按使用环境分类</w:t>
      </w:r>
      <w:r>
        <w:tab/>
      </w:r>
      <w:r>
        <w:fldChar w:fldCharType="begin"/>
      </w:r>
      <w:r>
        <w:instrText xml:space="preserve"> PAGEREF _Toc12651 \h </w:instrText>
      </w:r>
      <w:r>
        <w:fldChar w:fldCharType="separate"/>
      </w:r>
      <w:r>
        <w:t>5</w:t>
      </w:r>
      <w:r>
        <w:fldChar w:fldCharType="end"/>
      </w:r>
      <w:r>
        <w:fldChar w:fldCharType="end"/>
      </w:r>
    </w:p>
    <w:p w14:paraId="59A8E31F">
      <w:pPr>
        <w:pStyle w:val="25"/>
        <w:tabs>
          <w:tab w:val="right" w:leader="dot" w:pos="9355"/>
          <w:tab w:val="clear" w:pos="9344"/>
        </w:tabs>
      </w:pPr>
      <w:r>
        <w:fldChar w:fldCharType="begin"/>
      </w:r>
      <w:r>
        <w:instrText xml:space="preserve"> HYPERLINK \l _Toc3390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5.3 </w:t>
      </w:r>
      <w:r>
        <w:rPr>
          <w:rFonts w:hint="eastAsia"/>
        </w:rPr>
        <w:t>按接入电压等级分类</w:t>
      </w:r>
      <w:r>
        <w:tab/>
      </w:r>
      <w:r>
        <w:fldChar w:fldCharType="begin"/>
      </w:r>
      <w:r>
        <w:instrText xml:space="preserve"> PAGEREF _Toc3390 \h </w:instrText>
      </w:r>
      <w:r>
        <w:fldChar w:fldCharType="separate"/>
      </w:r>
      <w:r>
        <w:t>6</w:t>
      </w:r>
      <w:r>
        <w:fldChar w:fldCharType="end"/>
      </w:r>
      <w:r>
        <w:fldChar w:fldCharType="end"/>
      </w:r>
    </w:p>
    <w:p w14:paraId="2780B815">
      <w:pPr>
        <w:pStyle w:val="25"/>
        <w:tabs>
          <w:tab w:val="right" w:leader="dot" w:pos="9355"/>
          <w:tab w:val="clear" w:pos="9344"/>
        </w:tabs>
      </w:pPr>
      <w:r>
        <w:fldChar w:fldCharType="begin"/>
      </w:r>
      <w:r>
        <w:instrText xml:space="preserve"> HYPERLINK \l _Toc19435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5.4 </w:t>
      </w:r>
      <w:r>
        <w:rPr>
          <w:rFonts w:hint="eastAsia"/>
          <w:highlight w:val="none"/>
          <w:lang w:val="en-US" w:eastAsia="zh-CN"/>
        </w:rPr>
        <w:t>系统组成</w:t>
      </w:r>
      <w:r>
        <w:tab/>
      </w:r>
      <w:r>
        <w:fldChar w:fldCharType="begin"/>
      </w:r>
      <w:r>
        <w:instrText xml:space="preserve"> PAGEREF _Toc19435 \h </w:instrText>
      </w:r>
      <w:r>
        <w:fldChar w:fldCharType="separate"/>
      </w:r>
      <w:r>
        <w:t>6</w:t>
      </w:r>
      <w:r>
        <w:fldChar w:fldCharType="end"/>
      </w:r>
      <w:r>
        <w:fldChar w:fldCharType="end"/>
      </w:r>
    </w:p>
    <w:p w14:paraId="43F12489">
      <w:pPr>
        <w:pStyle w:val="20"/>
        <w:tabs>
          <w:tab w:val="right" w:leader="dot" w:pos="9355"/>
        </w:tabs>
      </w:pPr>
      <w:r>
        <w:fldChar w:fldCharType="begin"/>
      </w:r>
      <w:r>
        <w:instrText xml:space="preserve"> HYPERLINK \l _Toc7973 </w:instrText>
      </w:r>
      <w:r>
        <w:fldChar w:fldCharType="separate"/>
      </w:r>
      <w:r>
        <w:rPr>
          <w:rFonts w:hint="eastAsia" w:ascii="黑体" w:eastAsia="黑体"/>
          <w:i w:val="0"/>
        </w:rPr>
        <w:t xml:space="preserve">6 </w:t>
      </w:r>
      <w:r>
        <w:rPr>
          <w:rFonts w:hint="eastAsia"/>
        </w:rPr>
        <w:t>环境条件</w:t>
      </w:r>
      <w:r>
        <w:tab/>
      </w:r>
      <w:r>
        <w:fldChar w:fldCharType="begin"/>
      </w:r>
      <w:r>
        <w:instrText xml:space="preserve"> PAGEREF _Toc7973 \h </w:instrText>
      </w:r>
      <w:r>
        <w:fldChar w:fldCharType="separate"/>
      </w:r>
      <w:r>
        <w:t>6</w:t>
      </w:r>
      <w:r>
        <w:fldChar w:fldCharType="end"/>
      </w:r>
      <w:r>
        <w:fldChar w:fldCharType="end"/>
      </w:r>
    </w:p>
    <w:p w14:paraId="78F9F327">
      <w:pPr>
        <w:pStyle w:val="25"/>
        <w:tabs>
          <w:tab w:val="right" w:leader="dot" w:pos="9355"/>
          <w:tab w:val="clear" w:pos="9344"/>
        </w:tabs>
      </w:pPr>
      <w:r>
        <w:fldChar w:fldCharType="begin"/>
      </w:r>
      <w:r>
        <w:instrText xml:space="preserve"> HYPERLINK \l _Toc9898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6.1 </w:t>
      </w:r>
      <w:r>
        <w:rPr>
          <w:rFonts w:hint="eastAsia"/>
        </w:rPr>
        <w:t>污染等级</w:t>
      </w:r>
      <w:r>
        <w:tab/>
      </w:r>
      <w:r>
        <w:fldChar w:fldCharType="begin"/>
      </w:r>
      <w:r>
        <w:instrText xml:space="preserve"> PAGEREF _Toc9898 \h </w:instrText>
      </w:r>
      <w:r>
        <w:fldChar w:fldCharType="separate"/>
      </w:r>
      <w:r>
        <w:t>6</w:t>
      </w:r>
      <w:r>
        <w:fldChar w:fldCharType="end"/>
      </w:r>
      <w:r>
        <w:fldChar w:fldCharType="end"/>
      </w:r>
    </w:p>
    <w:p w14:paraId="0C4C7CCA">
      <w:pPr>
        <w:pStyle w:val="25"/>
        <w:tabs>
          <w:tab w:val="right" w:leader="dot" w:pos="9355"/>
          <w:tab w:val="clear" w:pos="9344"/>
        </w:tabs>
      </w:pPr>
      <w:r>
        <w:fldChar w:fldCharType="begin"/>
      </w:r>
      <w:r>
        <w:instrText xml:space="preserve"> HYPERLINK \l _Toc16304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6.2 </w:t>
      </w:r>
      <w:r>
        <w:rPr>
          <w:rFonts w:hint="eastAsia"/>
        </w:rPr>
        <w:t>防护等级</w:t>
      </w:r>
      <w:r>
        <w:tab/>
      </w:r>
      <w:r>
        <w:fldChar w:fldCharType="begin"/>
      </w:r>
      <w:r>
        <w:instrText xml:space="preserve"> PAGEREF _Toc16304 \h </w:instrText>
      </w:r>
      <w:r>
        <w:fldChar w:fldCharType="separate"/>
      </w:r>
      <w:r>
        <w:t>7</w:t>
      </w:r>
      <w:r>
        <w:fldChar w:fldCharType="end"/>
      </w:r>
      <w:r>
        <w:fldChar w:fldCharType="end"/>
      </w:r>
    </w:p>
    <w:p w14:paraId="32ECCFD9">
      <w:pPr>
        <w:pStyle w:val="25"/>
        <w:tabs>
          <w:tab w:val="right" w:leader="dot" w:pos="9355"/>
          <w:tab w:val="clear" w:pos="9344"/>
        </w:tabs>
      </w:pPr>
      <w:r>
        <w:fldChar w:fldCharType="begin"/>
      </w:r>
      <w:r>
        <w:instrText xml:space="preserve"> HYPERLINK \l _Toc3147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6.3 </w:t>
      </w:r>
      <w:r>
        <w:rPr>
          <w:rFonts w:hint="eastAsia"/>
        </w:rPr>
        <w:t>湿度</w:t>
      </w:r>
      <w:r>
        <w:tab/>
      </w:r>
      <w:r>
        <w:fldChar w:fldCharType="begin"/>
      </w:r>
      <w:r>
        <w:instrText xml:space="preserve"> PAGEREF _Toc3147 \h </w:instrText>
      </w:r>
      <w:r>
        <w:fldChar w:fldCharType="separate"/>
      </w:r>
      <w:r>
        <w:t>7</w:t>
      </w:r>
      <w:r>
        <w:fldChar w:fldCharType="end"/>
      </w:r>
      <w:r>
        <w:fldChar w:fldCharType="end"/>
      </w:r>
    </w:p>
    <w:p w14:paraId="7BB1F1BA">
      <w:pPr>
        <w:pStyle w:val="25"/>
        <w:tabs>
          <w:tab w:val="right" w:leader="dot" w:pos="9355"/>
          <w:tab w:val="clear" w:pos="9344"/>
        </w:tabs>
      </w:pPr>
      <w:r>
        <w:fldChar w:fldCharType="begin"/>
      </w:r>
      <w:r>
        <w:instrText xml:space="preserve"> HYPERLINK \l _Toc11302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6.4 </w:t>
      </w:r>
      <w:r>
        <w:rPr>
          <w:rFonts w:hint="eastAsia"/>
        </w:rPr>
        <w:t>温度</w:t>
      </w:r>
      <w:r>
        <w:tab/>
      </w:r>
      <w:r>
        <w:fldChar w:fldCharType="begin"/>
      </w:r>
      <w:r>
        <w:instrText xml:space="preserve"> PAGEREF _Toc11302 \h </w:instrText>
      </w:r>
      <w:r>
        <w:fldChar w:fldCharType="separate"/>
      </w:r>
      <w:r>
        <w:t>7</w:t>
      </w:r>
      <w:r>
        <w:fldChar w:fldCharType="end"/>
      </w:r>
      <w:r>
        <w:fldChar w:fldCharType="end"/>
      </w:r>
    </w:p>
    <w:p w14:paraId="73D86F99">
      <w:pPr>
        <w:pStyle w:val="20"/>
        <w:tabs>
          <w:tab w:val="right" w:leader="dot" w:pos="9355"/>
        </w:tabs>
      </w:pPr>
      <w:r>
        <w:fldChar w:fldCharType="begin"/>
      </w:r>
      <w:r>
        <w:instrText xml:space="preserve"> HYPERLINK \l _Toc5501 </w:instrText>
      </w:r>
      <w:r>
        <w:fldChar w:fldCharType="separate"/>
      </w:r>
      <w:r>
        <w:rPr>
          <w:rFonts w:hint="eastAsia" w:ascii="黑体" w:eastAsia="黑体"/>
          <w:i w:val="0"/>
        </w:rPr>
        <w:t xml:space="preserve">7 </w:t>
      </w:r>
      <w:r>
        <w:rPr>
          <w:rFonts w:hint="eastAsia"/>
        </w:rPr>
        <w:t>性能要求</w:t>
      </w:r>
      <w:r>
        <w:tab/>
      </w:r>
      <w:r>
        <w:fldChar w:fldCharType="begin"/>
      </w:r>
      <w:r>
        <w:instrText xml:space="preserve"> PAGEREF _Toc5501 \h </w:instrText>
      </w:r>
      <w:r>
        <w:fldChar w:fldCharType="separate"/>
      </w:r>
      <w:r>
        <w:t>7</w:t>
      </w:r>
      <w:r>
        <w:fldChar w:fldCharType="end"/>
      </w:r>
      <w:r>
        <w:fldChar w:fldCharType="end"/>
      </w:r>
    </w:p>
    <w:p w14:paraId="03E96854">
      <w:pPr>
        <w:pStyle w:val="25"/>
        <w:tabs>
          <w:tab w:val="right" w:leader="dot" w:pos="9355"/>
          <w:tab w:val="clear" w:pos="9344"/>
        </w:tabs>
      </w:pPr>
      <w:r>
        <w:fldChar w:fldCharType="begin"/>
      </w:r>
      <w:r>
        <w:instrText xml:space="preserve"> HYPERLINK \l _Toc12531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 </w:t>
      </w:r>
      <w:r>
        <w:rPr>
          <w:rFonts w:hint="eastAsia"/>
        </w:rPr>
        <w:t>电气参数</w:t>
      </w:r>
      <w:r>
        <w:tab/>
      </w:r>
      <w:r>
        <w:fldChar w:fldCharType="begin"/>
      </w:r>
      <w:r>
        <w:instrText xml:space="preserve"> PAGEREF _Toc12531 \h </w:instrText>
      </w:r>
      <w:r>
        <w:fldChar w:fldCharType="separate"/>
      </w:r>
      <w:r>
        <w:t>7</w:t>
      </w:r>
      <w:r>
        <w:fldChar w:fldCharType="end"/>
      </w:r>
      <w:r>
        <w:fldChar w:fldCharType="end"/>
      </w:r>
    </w:p>
    <w:p w14:paraId="5E1D7539">
      <w:pPr>
        <w:pStyle w:val="25"/>
        <w:tabs>
          <w:tab w:val="right" w:leader="dot" w:pos="9355"/>
          <w:tab w:val="clear" w:pos="9344"/>
        </w:tabs>
      </w:pPr>
      <w:r>
        <w:fldChar w:fldCharType="begin"/>
      </w:r>
      <w:r>
        <w:instrText xml:space="preserve"> HYPERLINK \l _Toc397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7.2 </w:t>
      </w:r>
      <w:r>
        <w:rPr>
          <w:rFonts w:hint="eastAsia"/>
        </w:rPr>
        <w:t>电气性能</w:t>
      </w:r>
      <w:r>
        <w:tab/>
      </w:r>
      <w:r>
        <w:fldChar w:fldCharType="begin"/>
      </w:r>
      <w:r>
        <w:instrText xml:space="preserve"> PAGEREF _Toc397 \h </w:instrText>
      </w:r>
      <w:r>
        <w:fldChar w:fldCharType="separate"/>
      </w:r>
      <w:r>
        <w:t>8</w:t>
      </w:r>
      <w:r>
        <w:fldChar w:fldCharType="end"/>
      </w:r>
      <w:r>
        <w:fldChar w:fldCharType="end"/>
      </w:r>
    </w:p>
    <w:p w14:paraId="3852CB48">
      <w:pPr>
        <w:pStyle w:val="25"/>
        <w:tabs>
          <w:tab w:val="right" w:leader="dot" w:pos="9355"/>
          <w:tab w:val="clear" w:pos="9344"/>
        </w:tabs>
      </w:pPr>
      <w:r>
        <w:fldChar w:fldCharType="begin"/>
      </w:r>
      <w:r>
        <w:instrText xml:space="preserve"> HYPERLINK \l _Toc27256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7.3 </w:t>
      </w:r>
      <w:r>
        <w:rPr>
          <w:rFonts w:hint="eastAsia"/>
          <w:bCs w:val="0"/>
          <w:highlight w:val="none"/>
        </w:rPr>
        <w:t>冗余度</w:t>
      </w:r>
      <w:r>
        <w:tab/>
      </w:r>
      <w:r>
        <w:fldChar w:fldCharType="begin"/>
      </w:r>
      <w:r>
        <w:instrText xml:space="preserve"> PAGEREF _Toc27256 \h </w:instrText>
      </w:r>
      <w:r>
        <w:fldChar w:fldCharType="separate"/>
      </w:r>
      <w:r>
        <w:t>12</w:t>
      </w:r>
      <w:r>
        <w:fldChar w:fldCharType="end"/>
      </w:r>
      <w:r>
        <w:fldChar w:fldCharType="end"/>
      </w:r>
    </w:p>
    <w:p w14:paraId="71F26ABB">
      <w:pPr>
        <w:pStyle w:val="25"/>
        <w:tabs>
          <w:tab w:val="right" w:leader="dot" w:pos="9355"/>
          <w:tab w:val="clear" w:pos="9344"/>
        </w:tabs>
      </w:pPr>
      <w:r>
        <w:fldChar w:fldCharType="begin"/>
      </w:r>
      <w:r>
        <w:instrText xml:space="preserve"> HYPERLINK \l _Toc5247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7.4 </w:t>
      </w:r>
      <w:r>
        <w:rPr>
          <w:rFonts w:hint="eastAsia"/>
        </w:rPr>
        <w:t>机械性能</w:t>
      </w:r>
      <w:r>
        <w:tab/>
      </w:r>
      <w:r>
        <w:fldChar w:fldCharType="begin"/>
      </w:r>
      <w:r>
        <w:instrText xml:space="preserve"> PAGEREF _Toc5247 \h </w:instrText>
      </w:r>
      <w:r>
        <w:fldChar w:fldCharType="separate"/>
      </w:r>
      <w:r>
        <w:t>12</w:t>
      </w:r>
      <w:r>
        <w:fldChar w:fldCharType="end"/>
      </w:r>
      <w:r>
        <w:fldChar w:fldCharType="end"/>
      </w:r>
    </w:p>
    <w:p w14:paraId="52E6553E">
      <w:pPr>
        <w:pStyle w:val="25"/>
        <w:tabs>
          <w:tab w:val="right" w:leader="dot" w:pos="9355"/>
          <w:tab w:val="clear" w:pos="9344"/>
        </w:tabs>
      </w:pPr>
      <w:r>
        <w:fldChar w:fldCharType="begin"/>
      </w:r>
      <w:r>
        <w:instrText xml:space="preserve"> HYPERLINK \l _Toc18758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7.5 </w:t>
      </w:r>
      <w:r>
        <w:rPr>
          <w:rFonts w:hint="eastAsia"/>
        </w:rPr>
        <w:t>绝缘水平</w:t>
      </w:r>
      <w:r>
        <w:tab/>
      </w:r>
      <w:r>
        <w:fldChar w:fldCharType="begin"/>
      </w:r>
      <w:r>
        <w:instrText xml:space="preserve"> PAGEREF _Toc18758 \h </w:instrText>
      </w:r>
      <w:r>
        <w:fldChar w:fldCharType="separate"/>
      </w:r>
      <w:r>
        <w:t>13</w:t>
      </w:r>
      <w:r>
        <w:fldChar w:fldCharType="end"/>
      </w:r>
      <w:r>
        <w:fldChar w:fldCharType="end"/>
      </w:r>
    </w:p>
    <w:p w14:paraId="59C4652B">
      <w:pPr>
        <w:pStyle w:val="25"/>
        <w:tabs>
          <w:tab w:val="right" w:leader="dot" w:pos="9355"/>
          <w:tab w:val="clear" w:pos="9344"/>
        </w:tabs>
      </w:pPr>
      <w:r>
        <w:fldChar w:fldCharType="begin"/>
      </w:r>
      <w:r>
        <w:instrText xml:space="preserve"> HYPERLINK \l _Toc11979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7.6 </w:t>
      </w:r>
      <w:r>
        <w:rPr>
          <w:rFonts w:hint="eastAsia"/>
        </w:rPr>
        <w:t>电压耐受能力</w:t>
      </w:r>
      <w:r>
        <w:tab/>
      </w:r>
      <w:r>
        <w:fldChar w:fldCharType="begin"/>
      </w:r>
      <w:r>
        <w:instrText xml:space="preserve"> PAGEREF _Toc11979 \h </w:instrText>
      </w:r>
      <w:r>
        <w:fldChar w:fldCharType="separate"/>
      </w:r>
      <w:r>
        <w:t>14</w:t>
      </w:r>
      <w:r>
        <w:fldChar w:fldCharType="end"/>
      </w:r>
      <w:r>
        <w:fldChar w:fldCharType="end"/>
      </w:r>
    </w:p>
    <w:p w14:paraId="4E45A12C">
      <w:pPr>
        <w:pStyle w:val="25"/>
        <w:tabs>
          <w:tab w:val="right" w:leader="dot" w:pos="9355"/>
          <w:tab w:val="clear" w:pos="9344"/>
        </w:tabs>
      </w:pPr>
      <w:r>
        <w:fldChar w:fldCharType="begin"/>
      </w:r>
      <w:r>
        <w:instrText xml:space="preserve"> HYPERLINK \l _Toc23901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7.7 </w:t>
      </w:r>
      <w:r>
        <w:rPr>
          <w:rFonts w:hint="eastAsia"/>
        </w:rPr>
        <w:t>保护功能</w:t>
      </w:r>
      <w:r>
        <w:tab/>
      </w:r>
      <w:r>
        <w:fldChar w:fldCharType="begin"/>
      </w:r>
      <w:r>
        <w:instrText xml:space="preserve"> PAGEREF _Toc23901 \h </w:instrText>
      </w:r>
      <w:r>
        <w:fldChar w:fldCharType="separate"/>
      </w:r>
      <w:r>
        <w:t>14</w:t>
      </w:r>
      <w:r>
        <w:fldChar w:fldCharType="end"/>
      </w:r>
      <w:r>
        <w:fldChar w:fldCharType="end"/>
      </w:r>
    </w:p>
    <w:p w14:paraId="71EF84AA">
      <w:pPr>
        <w:pStyle w:val="25"/>
        <w:tabs>
          <w:tab w:val="right" w:leader="dot" w:pos="9355"/>
          <w:tab w:val="clear" w:pos="9344"/>
        </w:tabs>
      </w:pPr>
      <w:r>
        <w:fldChar w:fldCharType="begin"/>
      </w:r>
      <w:r>
        <w:instrText xml:space="preserve"> HYPERLINK \l _Toc13369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7.8 </w:t>
      </w:r>
      <w:r>
        <w:rPr>
          <w:rFonts w:hint="eastAsia"/>
        </w:rPr>
        <w:t>无线电干扰</w:t>
      </w:r>
      <w:r>
        <w:tab/>
      </w:r>
      <w:r>
        <w:fldChar w:fldCharType="begin"/>
      </w:r>
      <w:r>
        <w:instrText xml:space="preserve"> PAGEREF _Toc13369 \h </w:instrText>
      </w:r>
      <w:r>
        <w:fldChar w:fldCharType="separate"/>
      </w:r>
      <w:r>
        <w:t>14</w:t>
      </w:r>
      <w:r>
        <w:fldChar w:fldCharType="end"/>
      </w:r>
      <w:r>
        <w:fldChar w:fldCharType="end"/>
      </w:r>
    </w:p>
    <w:p w14:paraId="15687527">
      <w:pPr>
        <w:pStyle w:val="25"/>
        <w:tabs>
          <w:tab w:val="right" w:leader="dot" w:pos="9355"/>
          <w:tab w:val="clear" w:pos="9344"/>
        </w:tabs>
      </w:pPr>
      <w:r>
        <w:fldChar w:fldCharType="begin"/>
      </w:r>
      <w:r>
        <w:instrText xml:space="preserve"> HYPERLINK \l _Toc18462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7.9 </w:t>
      </w:r>
      <w:r>
        <w:rPr>
          <w:rFonts w:hint="eastAsia"/>
        </w:rPr>
        <w:t>噪声水平</w:t>
      </w:r>
      <w:r>
        <w:tab/>
      </w:r>
      <w:r>
        <w:fldChar w:fldCharType="begin"/>
      </w:r>
      <w:r>
        <w:instrText xml:space="preserve"> PAGEREF _Toc18462 \h </w:instrText>
      </w:r>
      <w:r>
        <w:fldChar w:fldCharType="separate"/>
      </w:r>
      <w:r>
        <w:t>14</w:t>
      </w:r>
      <w:r>
        <w:fldChar w:fldCharType="end"/>
      </w:r>
      <w:r>
        <w:fldChar w:fldCharType="end"/>
      </w:r>
    </w:p>
    <w:p w14:paraId="548E71A8">
      <w:pPr>
        <w:pStyle w:val="25"/>
        <w:tabs>
          <w:tab w:val="right" w:leader="dot" w:pos="9355"/>
          <w:tab w:val="clear" w:pos="9344"/>
        </w:tabs>
      </w:pPr>
      <w:r>
        <w:fldChar w:fldCharType="begin"/>
      </w:r>
      <w:r>
        <w:instrText xml:space="preserve"> HYPERLINK \l _Toc17013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7.10 </w:t>
      </w:r>
      <w:r>
        <w:rPr>
          <w:rFonts w:hint="eastAsia"/>
        </w:rPr>
        <w:t>防火能力</w:t>
      </w:r>
      <w:r>
        <w:tab/>
      </w:r>
      <w:r>
        <w:fldChar w:fldCharType="begin"/>
      </w:r>
      <w:r>
        <w:instrText xml:space="preserve"> PAGEREF _Toc17013 \h </w:instrText>
      </w:r>
      <w:r>
        <w:fldChar w:fldCharType="separate"/>
      </w:r>
      <w:r>
        <w:t>14</w:t>
      </w:r>
      <w:r>
        <w:fldChar w:fldCharType="end"/>
      </w:r>
      <w:r>
        <w:fldChar w:fldCharType="end"/>
      </w:r>
    </w:p>
    <w:p w14:paraId="72D7B4F5">
      <w:pPr>
        <w:pStyle w:val="25"/>
        <w:tabs>
          <w:tab w:val="right" w:leader="dot" w:pos="9355"/>
          <w:tab w:val="clear" w:pos="9344"/>
        </w:tabs>
      </w:pPr>
      <w:r>
        <w:fldChar w:fldCharType="begin"/>
      </w:r>
      <w:r>
        <w:instrText xml:space="preserve"> HYPERLINK \l _Toc29457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7.11 </w:t>
      </w:r>
      <w:r>
        <w:rPr>
          <w:rFonts w:hint="eastAsia"/>
        </w:rPr>
        <w:t>水冷系统</w:t>
      </w:r>
      <w:r>
        <w:tab/>
      </w:r>
      <w:r>
        <w:fldChar w:fldCharType="begin"/>
      </w:r>
      <w:r>
        <w:instrText xml:space="preserve"> PAGEREF _Toc29457 \h </w:instrText>
      </w:r>
      <w:r>
        <w:fldChar w:fldCharType="separate"/>
      </w:r>
      <w:r>
        <w:t>14</w:t>
      </w:r>
      <w:r>
        <w:fldChar w:fldCharType="end"/>
      </w:r>
      <w:r>
        <w:fldChar w:fldCharType="end"/>
      </w:r>
    </w:p>
    <w:p w14:paraId="0769829A">
      <w:pPr>
        <w:pStyle w:val="25"/>
        <w:tabs>
          <w:tab w:val="right" w:leader="dot" w:pos="9355"/>
          <w:tab w:val="clear" w:pos="9344"/>
        </w:tabs>
      </w:pPr>
      <w:r>
        <w:fldChar w:fldCharType="begin"/>
      </w:r>
      <w:r>
        <w:instrText xml:space="preserve"> HYPERLINK \l _Toc32070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7.12 </w:t>
      </w:r>
      <w:r>
        <w:rPr>
          <w:rFonts w:hint="eastAsia"/>
        </w:rPr>
        <w:t>风冷系统</w:t>
      </w:r>
      <w:r>
        <w:tab/>
      </w:r>
      <w:r>
        <w:fldChar w:fldCharType="begin"/>
      </w:r>
      <w:r>
        <w:instrText xml:space="preserve"> PAGEREF _Toc32070 \h </w:instrText>
      </w:r>
      <w:r>
        <w:fldChar w:fldCharType="separate"/>
      </w:r>
      <w:r>
        <w:t>14</w:t>
      </w:r>
      <w:r>
        <w:fldChar w:fldCharType="end"/>
      </w:r>
      <w:r>
        <w:fldChar w:fldCharType="end"/>
      </w:r>
    </w:p>
    <w:p w14:paraId="6C3AA3A7">
      <w:pPr>
        <w:pStyle w:val="25"/>
        <w:tabs>
          <w:tab w:val="right" w:leader="dot" w:pos="9355"/>
          <w:tab w:val="clear" w:pos="9344"/>
        </w:tabs>
      </w:pPr>
      <w:r>
        <w:fldChar w:fldCharType="begin"/>
      </w:r>
      <w:r>
        <w:instrText xml:space="preserve"> HYPERLINK \l _Toc22970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7.13 </w:t>
      </w:r>
      <w:r>
        <w:rPr>
          <w:rFonts w:hint="eastAsia"/>
          <w:highlight w:val="none"/>
        </w:rPr>
        <w:t>电磁兼容</w:t>
      </w:r>
      <w:r>
        <w:rPr>
          <w:rFonts w:hint="eastAsia"/>
          <w:highlight w:val="none"/>
          <w:lang w:eastAsia="zh-CN"/>
        </w:rPr>
        <w:t>（</w:t>
      </w:r>
      <w:r>
        <w:rPr>
          <w:rFonts w:hint="eastAsia"/>
          <w:highlight w:val="none"/>
          <w:lang w:val="en-US" w:eastAsia="zh-CN"/>
        </w:rPr>
        <w:t>请西电确认</w:t>
      </w:r>
      <w:r>
        <w:rPr>
          <w:rFonts w:hint="eastAsia"/>
          <w:highlight w:val="none"/>
          <w:lang w:eastAsia="zh-CN"/>
        </w:rPr>
        <w:t>）</w:t>
      </w:r>
      <w:r>
        <w:tab/>
      </w:r>
      <w:r>
        <w:fldChar w:fldCharType="begin"/>
      </w:r>
      <w:r>
        <w:instrText xml:space="preserve"> PAGEREF _Toc22970 \h </w:instrText>
      </w:r>
      <w:r>
        <w:fldChar w:fldCharType="separate"/>
      </w:r>
      <w:r>
        <w:t>14</w:t>
      </w:r>
      <w:r>
        <w:fldChar w:fldCharType="end"/>
      </w:r>
      <w:r>
        <w:fldChar w:fldCharType="end"/>
      </w:r>
    </w:p>
    <w:p w14:paraId="60B9241D">
      <w:pPr>
        <w:pStyle w:val="20"/>
        <w:tabs>
          <w:tab w:val="right" w:leader="dot" w:pos="9355"/>
        </w:tabs>
      </w:pPr>
      <w:r>
        <w:fldChar w:fldCharType="begin"/>
      </w:r>
      <w:r>
        <w:instrText xml:space="preserve"> HYPERLINK \l _Toc9623 </w:instrText>
      </w:r>
      <w:r>
        <w:fldChar w:fldCharType="separate"/>
      </w:r>
      <w:r>
        <w:rPr>
          <w:rFonts w:hint="eastAsia" w:ascii="黑体" w:eastAsia="黑体"/>
          <w:i w:val="0"/>
        </w:rPr>
        <w:t xml:space="preserve">8 </w:t>
      </w:r>
      <w:r>
        <w:rPr>
          <w:rFonts w:hint="eastAsia"/>
        </w:rPr>
        <w:t>试验项目及方法</w:t>
      </w:r>
      <w:r>
        <w:tab/>
      </w:r>
      <w:r>
        <w:fldChar w:fldCharType="begin"/>
      </w:r>
      <w:r>
        <w:instrText xml:space="preserve"> PAGEREF _Toc9623 \h </w:instrText>
      </w:r>
      <w:r>
        <w:fldChar w:fldCharType="separate"/>
      </w:r>
      <w:r>
        <w:t>15</w:t>
      </w:r>
      <w:r>
        <w:fldChar w:fldCharType="end"/>
      </w:r>
      <w:r>
        <w:fldChar w:fldCharType="end"/>
      </w:r>
    </w:p>
    <w:p w14:paraId="2DE20087">
      <w:pPr>
        <w:pStyle w:val="25"/>
        <w:tabs>
          <w:tab w:val="right" w:leader="dot" w:pos="9355"/>
          <w:tab w:val="clear" w:pos="9344"/>
        </w:tabs>
      </w:pPr>
      <w:r>
        <w:fldChar w:fldCharType="begin"/>
      </w:r>
      <w:r>
        <w:instrText xml:space="preserve"> HYPERLINK \l _Toc26368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8.1 </w:t>
      </w:r>
      <w:r>
        <w:rPr>
          <w:rFonts w:hint="eastAsia"/>
        </w:rPr>
        <w:t>检验项目分类</w:t>
      </w:r>
      <w:r>
        <w:tab/>
      </w:r>
      <w:r>
        <w:fldChar w:fldCharType="begin"/>
      </w:r>
      <w:r>
        <w:instrText xml:space="preserve"> PAGEREF _Toc26368 \h </w:instrText>
      </w:r>
      <w:r>
        <w:fldChar w:fldCharType="separate"/>
      </w:r>
      <w:r>
        <w:t>15</w:t>
      </w:r>
      <w:r>
        <w:fldChar w:fldCharType="end"/>
      </w:r>
      <w:r>
        <w:fldChar w:fldCharType="end"/>
      </w:r>
    </w:p>
    <w:p w14:paraId="05E4CAE0">
      <w:pPr>
        <w:pStyle w:val="25"/>
        <w:tabs>
          <w:tab w:val="right" w:leader="dot" w:pos="9355"/>
          <w:tab w:val="clear" w:pos="9344"/>
        </w:tabs>
      </w:pPr>
      <w:r>
        <w:fldChar w:fldCharType="begin"/>
      </w:r>
      <w:r>
        <w:instrText xml:space="preserve"> HYPERLINK \l _Toc6580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8.2 </w:t>
      </w:r>
      <w:r>
        <w:rPr>
          <w:rFonts w:hint="eastAsia"/>
        </w:rPr>
        <w:t>整机检验项目</w:t>
      </w:r>
      <w:r>
        <w:tab/>
      </w:r>
      <w:r>
        <w:fldChar w:fldCharType="begin"/>
      </w:r>
      <w:r>
        <w:instrText xml:space="preserve"> PAGEREF _Toc6580 \h </w:instrText>
      </w:r>
      <w:r>
        <w:fldChar w:fldCharType="separate"/>
      </w:r>
      <w:r>
        <w:t>15</w:t>
      </w:r>
      <w:r>
        <w:fldChar w:fldCharType="end"/>
      </w:r>
      <w:r>
        <w:fldChar w:fldCharType="end"/>
      </w:r>
    </w:p>
    <w:p w14:paraId="5078D078">
      <w:pPr>
        <w:pStyle w:val="25"/>
        <w:tabs>
          <w:tab w:val="right" w:leader="dot" w:pos="9355"/>
          <w:tab w:val="clear" w:pos="9344"/>
        </w:tabs>
      </w:pPr>
      <w:r>
        <w:fldChar w:fldCharType="begin"/>
      </w:r>
      <w:r>
        <w:instrText xml:space="preserve"> HYPERLINK \l _Toc11005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8.3 </w:t>
      </w:r>
      <w:r>
        <w:rPr>
          <w:rFonts w:hint="eastAsia"/>
        </w:rPr>
        <w:t>高频隔离变压器试验项目</w:t>
      </w:r>
      <w:r>
        <w:tab/>
      </w:r>
      <w:r>
        <w:fldChar w:fldCharType="begin"/>
      </w:r>
      <w:r>
        <w:instrText xml:space="preserve"> PAGEREF _Toc11005 \h </w:instrText>
      </w:r>
      <w:r>
        <w:fldChar w:fldCharType="separate"/>
      </w:r>
      <w:r>
        <w:t>16</w:t>
      </w:r>
      <w:r>
        <w:fldChar w:fldCharType="end"/>
      </w:r>
      <w:r>
        <w:fldChar w:fldCharType="end"/>
      </w:r>
    </w:p>
    <w:p w14:paraId="51714307">
      <w:pPr>
        <w:pStyle w:val="25"/>
        <w:tabs>
          <w:tab w:val="right" w:leader="dot" w:pos="9355"/>
          <w:tab w:val="clear" w:pos="9344"/>
        </w:tabs>
      </w:pPr>
      <w:r>
        <w:fldChar w:fldCharType="begin"/>
      </w:r>
      <w:r>
        <w:instrText xml:space="preserve"> HYPERLINK \l _Toc4191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8.4 </w:t>
      </w:r>
      <w:r>
        <w:rPr>
          <w:rFonts w:hint="eastAsia"/>
        </w:rPr>
        <w:t>控保装置试验项目</w:t>
      </w:r>
      <w:r>
        <w:tab/>
      </w:r>
      <w:r>
        <w:fldChar w:fldCharType="begin"/>
      </w:r>
      <w:r>
        <w:instrText xml:space="preserve"> PAGEREF _Toc4191 \h </w:instrText>
      </w:r>
      <w:r>
        <w:fldChar w:fldCharType="separate"/>
      </w:r>
      <w:r>
        <w:t>16</w:t>
      </w:r>
      <w:r>
        <w:fldChar w:fldCharType="end"/>
      </w:r>
      <w:r>
        <w:fldChar w:fldCharType="end"/>
      </w:r>
    </w:p>
    <w:p w14:paraId="62001162">
      <w:pPr>
        <w:pStyle w:val="25"/>
        <w:tabs>
          <w:tab w:val="right" w:leader="dot" w:pos="9355"/>
          <w:tab w:val="clear" w:pos="9344"/>
        </w:tabs>
      </w:pPr>
      <w:r>
        <w:fldChar w:fldCharType="begin"/>
      </w:r>
      <w:r>
        <w:instrText xml:space="preserve"> HYPERLINK \l _Toc5174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8.5 </w:t>
      </w:r>
      <w:r>
        <w:rPr>
          <w:rFonts w:hint="eastAsia"/>
        </w:rPr>
        <w:t>功率模块试验项目</w:t>
      </w:r>
      <w:r>
        <w:tab/>
      </w:r>
      <w:r>
        <w:fldChar w:fldCharType="begin"/>
      </w:r>
      <w:r>
        <w:instrText xml:space="preserve"> PAGEREF _Toc5174 \h </w:instrText>
      </w:r>
      <w:r>
        <w:fldChar w:fldCharType="separate"/>
      </w:r>
      <w:r>
        <w:t>17</w:t>
      </w:r>
      <w:r>
        <w:fldChar w:fldCharType="end"/>
      </w:r>
      <w:r>
        <w:fldChar w:fldCharType="end"/>
      </w:r>
    </w:p>
    <w:p w14:paraId="2E7D6F74">
      <w:pPr>
        <w:pStyle w:val="25"/>
        <w:tabs>
          <w:tab w:val="right" w:leader="dot" w:pos="9355"/>
          <w:tab w:val="clear" w:pos="9344"/>
        </w:tabs>
      </w:pPr>
      <w:r>
        <w:fldChar w:fldCharType="begin"/>
      </w:r>
      <w:r>
        <w:instrText xml:space="preserve"> HYPERLINK \l _Toc11694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8.6 </w:t>
      </w:r>
      <w:r>
        <w:rPr>
          <w:rFonts w:hint="eastAsia"/>
        </w:rPr>
        <w:t>出厂检验</w:t>
      </w:r>
      <w:r>
        <w:tab/>
      </w:r>
      <w:r>
        <w:fldChar w:fldCharType="begin"/>
      </w:r>
      <w:r>
        <w:instrText xml:space="preserve"> PAGEREF _Toc11694 \h </w:instrText>
      </w:r>
      <w:r>
        <w:fldChar w:fldCharType="separate"/>
      </w:r>
      <w:r>
        <w:t>17</w:t>
      </w:r>
      <w:r>
        <w:fldChar w:fldCharType="end"/>
      </w:r>
      <w:r>
        <w:fldChar w:fldCharType="end"/>
      </w:r>
    </w:p>
    <w:p w14:paraId="5BF8D282">
      <w:pPr>
        <w:pStyle w:val="25"/>
        <w:tabs>
          <w:tab w:val="right" w:leader="dot" w:pos="9355"/>
          <w:tab w:val="clear" w:pos="9344"/>
        </w:tabs>
      </w:pPr>
      <w:r>
        <w:fldChar w:fldCharType="begin"/>
      </w:r>
      <w:r>
        <w:instrText xml:space="preserve"> HYPERLINK \l _Toc28541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8.7 </w:t>
      </w:r>
      <w:r>
        <w:rPr>
          <w:rFonts w:hint="eastAsia"/>
        </w:rPr>
        <w:t>相关（</w:t>
      </w:r>
      <w:r>
        <w:t>型式</w:t>
      </w:r>
      <w:r>
        <w:rPr>
          <w:rFonts w:hint="eastAsia"/>
        </w:rPr>
        <w:t>）</w:t>
      </w:r>
      <w:r>
        <w:t>检验</w:t>
      </w:r>
      <w:r>
        <w:tab/>
      </w:r>
      <w:r>
        <w:fldChar w:fldCharType="begin"/>
      </w:r>
      <w:r>
        <w:instrText xml:space="preserve"> PAGEREF _Toc28541 \h </w:instrText>
      </w:r>
      <w:r>
        <w:fldChar w:fldCharType="separate"/>
      </w:r>
      <w:r>
        <w:t>17</w:t>
      </w:r>
      <w:r>
        <w:fldChar w:fldCharType="end"/>
      </w:r>
      <w:r>
        <w:fldChar w:fldCharType="end"/>
      </w:r>
    </w:p>
    <w:p w14:paraId="7E2A457C">
      <w:pPr>
        <w:pStyle w:val="25"/>
        <w:tabs>
          <w:tab w:val="right" w:leader="dot" w:pos="9355"/>
          <w:tab w:val="clear" w:pos="9344"/>
        </w:tabs>
      </w:pPr>
      <w:r>
        <w:fldChar w:fldCharType="begin"/>
      </w:r>
      <w:r>
        <w:instrText xml:space="preserve"> HYPERLINK \l _Toc18394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8.8 </w:t>
      </w:r>
      <w:r>
        <w:rPr>
          <w:rFonts w:hint="eastAsia"/>
        </w:rPr>
        <w:t>判定规则</w:t>
      </w:r>
      <w:r>
        <w:tab/>
      </w:r>
      <w:r>
        <w:fldChar w:fldCharType="begin"/>
      </w:r>
      <w:r>
        <w:instrText xml:space="preserve"> PAGEREF _Toc18394 \h </w:instrText>
      </w:r>
      <w:r>
        <w:fldChar w:fldCharType="separate"/>
      </w:r>
      <w:r>
        <w:t>17</w:t>
      </w:r>
      <w:r>
        <w:fldChar w:fldCharType="end"/>
      </w:r>
      <w:r>
        <w:fldChar w:fldCharType="end"/>
      </w:r>
    </w:p>
    <w:p w14:paraId="3F4CD0F8">
      <w:pPr>
        <w:pStyle w:val="20"/>
        <w:tabs>
          <w:tab w:val="right" w:leader="dot" w:pos="9355"/>
        </w:tabs>
      </w:pPr>
      <w:r>
        <w:fldChar w:fldCharType="begin"/>
      </w:r>
      <w:r>
        <w:instrText xml:space="preserve"> HYPERLINK \l _Toc19479 </w:instrText>
      </w:r>
      <w:r>
        <w:fldChar w:fldCharType="separate"/>
      </w:r>
      <w:r>
        <w:rPr>
          <w:rFonts w:hint="eastAsia" w:ascii="黑体" w:eastAsia="黑体"/>
          <w:i w:val="0"/>
        </w:rPr>
        <w:t xml:space="preserve">9 </w:t>
      </w:r>
      <w:r>
        <w:rPr>
          <w:rFonts w:hint="eastAsia"/>
        </w:rPr>
        <w:t>标识与文档</w:t>
      </w:r>
      <w:r>
        <w:tab/>
      </w:r>
      <w:r>
        <w:fldChar w:fldCharType="begin"/>
      </w:r>
      <w:r>
        <w:instrText xml:space="preserve"> PAGEREF _Toc19479 \h </w:instrText>
      </w:r>
      <w:r>
        <w:fldChar w:fldCharType="separate"/>
      </w:r>
      <w:r>
        <w:t>17</w:t>
      </w:r>
      <w:r>
        <w:fldChar w:fldCharType="end"/>
      </w:r>
      <w:r>
        <w:fldChar w:fldCharType="end"/>
      </w:r>
    </w:p>
    <w:p w14:paraId="4BF09539">
      <w:pPr>
        <w:pStyle w:val="25"/>
        <w:tabs>
          <w:tab w:val="right" w:leader="dot" w:pos="9355"/>
          <w:tab w:val="clear" w:pos="9344"/>
        </w:tabs>
      </w:pPr>
      <w:r>
        <w:fldChar w:fldCharType="begin"/>
      </w:r>
      <w:r>
        <w:instrText xml:space="preserve"> HYPERLINK \l _Toc9048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9.1 </w:t>
      </w:r>
      <w:r>
        <w:rPr>
          <w:rFonts w:hint="eastAsia"/>
        </w:rPr>
        <w:t>一般标识</w:t>
      </w:r>
      <w:r>
        <w:tab/>
      </w:r>
      <w:r>
        <w:fldChar w:fldCharType="begin"/>
      </w:r>
      <w:r>
        <w:instrText xml:space="preserve"> PAGEREF _Toc9048 \h </w:instrText>
      </w:r>
      <w:r>
        <w:fldChar w:fldCharType="separate"/>
      </w:r>
      <w:r>
        <w:t>17</w:t>
      </w:r>
      <w:r>
        <w:fldChar w:fldCharType="end"/>
      </w:r>
      <w:r>
        <w:fldChar w:fldCharType="end"/>
      </w:r>
    </w:p>
    <w:p w14:paraId="7080AAD6">
      <w:pPr>
        <w:pStyle w:val="25"/>
        <w:tabs>
          <w:tab w:val="right" w:leader="dot" w:pos="9355"/>
          <w:tab w:val="clear" w:pos="9344"/>
        </w:tabs>
      </w:pPr>
      <w:r>
        <w:fldChar w:fldCharType="begin"/>
      </w:r>
      <w:r>
        <w:instrText xml:space="preserve"> HYPERLINK \l _Toc3544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1"/>
          <w:vertAlign w:val="baseline"/>
        </w:rPr>
        <w:t xml:space="preserve">9.2 </w:t>
      </w:r>
      <w:r>
        <w:rPr>
          <w:rFonts w:hint="eastAsia" w:hAnsi="黑体" w:cs="黑体"/>
          <w:spacing w:val="-8"/>
          <w:szCs w:val="21"/>
        </w:rPr>
        <w:t>文档</w:t>
      </w:r>
      <w:r>
        <w:tab/>
      </w:r>
      <w:r>
        <w:fldChar w:fldCharType="begin"/>
      </w:r>
      <w:r>
        <w:instrText xml:space="preserve"> PAGEREF _Toc3544 \h </w:instrText>
      </w:r>
      <w:r>
        <w:fldChar w:fldCharType="separate"/>
      </w:r>
      <w:r>
        <w:t>18</w:t>
      </w:r>
      <w:r>
        <w:fldChar w:fldCharType="end"/>
      </w:r>
      <w:r>
        <w:fldChar w:fldCharType="end"/>
      </w:r>
    </w:p>
    <w:p w14:paraId="3CB15CBF">
      <w:pPr>
        <w:pStyle w:val="20"/>
        <w:tabs>
          <w:tab w:val="right" w:leader="dot" w:pos="9355"/>
        </w:tabs>
      </w:pPr>
      <w:r>
        <w:fldChar w:fldCharType="begin"/>
      </w:r>
      <w:r>
        <w:instrText xml:space="preserve"> HYPERLINK \l _Toc26878 </w:instrText>
      </w:r>
      <w:r>
        <w:fldChar w:fldCharType="separate"/>
      </w:r>
      <w:r>
        <w:rPr>
          <w:rFonts w:hint="eastAsia" w:ascii="黑体" w:eastAsia="黑体"/>
          <w:i w:val="0"/>
        </w:rPr>
        <w:t xml:space="preserve">10 </w:t>
      </w:r>
      <w:r>
        <w:rPr>
          <w:rFonts w:hint="eastAsia"/>
        </w:rPr>
        <w:t>包装、运输和贮存</w:t>
      </w:r>
      <w:r>
        <w:tab/>
      </w:r>
      <w:r>
        <w:fldChar w:fldCharType="begin"/>
      </w:r>
      <w:r>
        <w:instrText xml:space="preserve"> PAGEREF _Toc26878 \h </w:instrText>
      </w:r>
      <w:r>
        <w:fldChar w:fldCharType="separate"/>
      </w:r>
      <w:r>
        <w:t>19</w:t>
      </w:r>
      <w:r>
        <w:fldChar w:fldCharType="end"/>
      </w:r>
      <w:r>
        <w:fldChar w:fldCharType="end"/>
      </w:r>
    </w:p>
    <w:p w14:paraId="36DFF7B0">
      <w:pPr>
        <w:pStyle w:val="25"/>
        <w:tabs>
          <w:tab w:val="right" w:leader="dot" w:pos="9355"/>
          <w:tab w:val="clear" w:pos="9344"/>
        </w:tabs>
      </w:pPr>
      <w:r>
        <w:fldChar w:fldCharType="begin"/>
      </w:r>
      <w:r>
        <w:instrText xml:space="preserve"> HYPERLINK \l _Toc1360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10.1 </w:t>
      </w:r>
      <w:r>
        <w:rPr>
          <w:rFonts w:hint="eastAsia"/>
        </w:rPr>
        <w:t>包装</w:t>
      </w:r>
      <w:r>
        <w:tab/>
      </w:r>
      <w:r>
        <w:fldChar w:fldCharType="begin"/>
      </w:r>
      <w:r>
        <w:instrText xml:space="preserve"> PAGEREF _Toc1360 \h </w:instrText>
      </w:r>
      <w:r>
        <w:fldChar w:fldCharType="separate"/>
      </w:r>
      <w:r>
        <w:t>19</w:t>
      </w:r>
      <w:r>
        <w:fldChar w:fldCharType="end"/>
      </w:r>
      <w:r>
        <w:fldChar w:fldCharType="end"/>
      </w:r>
    </w:p>
    <w:p w14:paraId="5CF001D8">
      <w:pPr>
        <w:pStyle w:val="25"/>
        <w:tabs>
          <w:tab w:val="right" w:leader="dot" w:pos="9355"/>
          <w:tab w:val="clear" w:pos="9344"/>
        </w:tabs>
      </w:pPr>
      <w:r>
        <w:fldChar w:fldCharType="begin"/>
      </w:r>
      <w:r>
        <w:instrText xml:space="preserve"> HYPERLINK \l _Toc28155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10.2 </w:t>
      </w:r>
      <w:r>
        <w:rPr>
          <w:rFonts w:hint="eastAsia"/>
          <w:bCs w:val="0"/>
          <w:highlight w:val="none"/>
        </w:rPr>
        <w:t>运输</w:t>
      </w:r>
      <w:r>
        <w:tab/>
      </w:r>
      <w:r>
        <w:fldChar w:fldCharType="begin"/>
      </w:r>
      <w:r>
        <w:instrText xml:space="preserve"> PAGEREF _Toc28155 \h </w:instrText>
      </w:r>
      <w:r>
        <w:fldChar w:fldCharType="separate"/>
      </w:r>
      <w:r>
        <w:t>19</w:t>
      </w:r>
      <w:r>
        <w:fldChar w:fldCharType="end"/>
      </w:r>
      <w:r>
        <w:fldChar w:fldCharType="end"/>
      </w:r>
    </w:p>
    <w:p w14:paraId="56934E89">
      <w:pPr>
        <w:pStyle w:val="25"/>
        <w:tabs>
          <w:tab w:val="right" w:leader="dot" w:pos="9355"/>
          <w:tab w:val="clear" w:pos="9344"/>
        </w:tabs>
      </w:pPr>
      <w:r>
        <w:fldChar w:fldCharType="begin"/>
      </w:r>
      <w:r>
        <w:instrText xml:space="preserve"> HYPERLINK \l _Toc26183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0"/>
          <w:vertAlign w:val="baseline"/>
          <w:lang w:val="en-US" w:eastAsia="zh-CN" w:bidi="ar-SA"/>
        </w:rPr>
        <w:t xml:space="preserve">10.3 </w:t>
      </w:r>
      <w:r>
        <w:rPr>
          <w:rFonts w:hint="eastAsia"/>
          <w:highlight w:val="none"/>
        </w:rPr>
        <w:t>贮存</w:t>
      </w:r>
      <w:r>
        <w:tab/>
      </w:r>
      <w:r>
        <w:fldChar w:fldCharType="begin"/>
      </w:r>
      <w:r>
        <w:instrText xml:space="preserve"> PAGEREF _Toc26183 \h </w:instrText>
      </w:r>
      <w:r>
        <w:fldChar w:fldCharType="separate"/>
      </w:r>
      <w:r>
        <w:t>19</w:t>
      </w:r>
      <w:r>
        <w:fldChar w:fldCharType="end"/>
      </w:r>
      <w:r>
        <w:fldChar w:fldCharType="end"/>
      </w:r>
    </w:p>
    <w:p w14:paraId="1F9E772B">
      <w:pPr>
        <w:pStyle w:val="20"/>
        <w:tabs>
          <w:tab w:val="right" w:leader="dot" w:pos="9355"/>
        </w:tabs>
      </w:pPr>
      <w:r>
        <w:fldChar w:fldCharType="begin"/>
      </w:r>
      <w:r>
        <w:instrText xml:space="preserve"> HYPERLINK \l _Toc25837 </w:instrText>
      </w:r>
      <w:r>
        <w:fldChar w:fldCharType="separate"/>
      </w:r>
      <w:r>
        <w:rPr>
          <w:rFonts w:hint="eastAsia"/>
          <w:spacing w:val="100"/>
          <w:szCs w:val="24"/>
        </w:rPr>
        <w:t>附录A</w:t>
      </w:r>
      <w:r>
        <w:tab/>
      </w:r>
      <w:r>
        <w:fldChar w:fldCharType="begin"/>
      </w:r>
      <w:r>
        <w:instrText xml:space="preserve"> PAGEREF _Toc25837 \h </w:instrText>
      </w:r>
      <w:r>
        <w:fldChar w:fldCharType="separate"/>
      </w:r>
      <w:r>
        <w:t>20</w:t>
      </w:r>
      <w:r>
        <w:fldChar w:fldCharType="end"/>
      </w:r>
      <w:r>
        <w:fldChar w:fldCharType="end"/>
      </w:r>
    </w:p>
    <w:p w14:paraId="5E28C3E3">
      <w:pPr>
        <w:pStyle w:val="20"/>
        <w:tabs>
          <w:tab w:val="right" w:leader="dot" w:pos="9355"/>
        </w:tabs>
      </w:pPr>
      <w:r>
        <w:fldChar w:fldCharType="begin"/>
      </w:r>
      <w:r>
        <w:instrText xml:space="preserve"> HYPERLINK \l _Toc30477 </w:instrText>
      </w:r>
      <w:r>
        <w:fldChar w:fldCharType="separate"/>
      </w:r>
      <w:r>
        <w:rPr>
          <w:rFonts w:hint="eastAsia"/>
          <w:spacing w:val="100"/>
        </w:rPr>
        <w:t>附录B</w:t>
      </w:r>
      <w:r>
        <w:tab/>
      </w:r>
      <w:r>
        <w:fldChar w:fldCharType="begin"/>
      </w:r>
      <w:r>
        <w:instrText xml:space="preserve"> PAGEREF _Toc30477 \h </w:instrText>
      </w:r>
      <w:r>
        <w:fldChar w:fldCharType="separate"/>
      </w:r>
      <w:r>
        <w:t>25</w:t>
      </w:r>
      <w:r>
        <w:fldChar w:fldCharType="end"/>
      </w:r>
      <w:r>
        <w:fldChar w:fldCharType="end"/>
      </w:r>
    </w:p>
    <w:p w14:paraId="7AB2C420">
      <w:pPr>
        <w:pStyle w:val="20"/>
        <w:tabs>
          <w:tab w:val="right" w:leader="dot" w:pos="9355"/>
        </w:tabs>
      </w:pPr>
      <w:r>
        <w:fldChar w:fldCharType="begin"/>
      </w:r>
      <w:r>
        <w:instrText xml:space="preserve"> HYPERLINK \l _Toc2146 </w:instrText>
      </w:r>
      <w:r>
        <w:fldChar w:fldCharType="separate"/>
      </w:r>
      <w:r>
        <w:rPr>
          <w:rFonts w:hint="eastAsia"/>
          <w:spacing w:val="100"/>
        </w:rPr>
        <w:t>附录C</w:t>
      </w:r>
      <w:r>
        <w:tab/>
      </w:r>
      <w:r>
        <w:fldChar w:fldCharType="begin"/>
      </w:r>
      <w:r>
        <w:instrText xml:space="preserve"> PAGEREF _Toc2146 \h </w:instrText>
      </w:r>
      <w:r>
        <w:fldChar w:fldCharType="separate"/>
      </w:r>
      <w:r>
        <w:t>26</w:t>
      </w:r>
      <w:r>
        <w:fldChar w:fldCharType="end"/>
      </w:r>
      <w:r>
        <w:fldChar w:fldCharType="end"/>
      </w:r>
    </w:p>
    <w:p w14:paraId="3F8D9ADE">
      <w:pPr>
        <w:pStyle w:val="20"/>
        <w:tabs>
          <w:tab w:val="right" w:leader="dot" w:pos="9355"/>
        </w:tabs>
      </w:pPr>
      <w:r>
        <w:fldChar w:fldCharType="begin"/>
      </w:r>
      <w:r>
        <w:instrText xml:space="preserve"> HYPERLINK \l _Toc26485 </w:instrText>
      </w:r>
      <w:r>
        <w:fldChar w:fldCharType="separate"/>
      </w:r>
      <w:r>
        <w:rPr>
          <w:rFonts w:hint="eastAsia"/>
          <w:spacing w:val="100"/>
        </w:rPr>
        <w:t>附录D</w:t>
      </w:r>
      <w:r>
        <w:tab/>
      </w:r>
      <w:r>
        <w:fldChar w:fldCharType="begin"/>
      </w:r>
      <w:r>
        <w:instrText xml:space="preserve"> PAGEREF _Toc26485 \h </w:instrText>
      </w:r>
      <w:r>
        <w:fldChar w:fldCharType="separate"/>
      </w:r>
      <w:r>
        <w:t>29</w:t>
      </w:r>
      <w:r>
        <w:fldChar w:fldCharType="end"/>
      </w:r>
      <w:r>
        <w:fldChar w:fldCharType="end"/>
      </w:r>
    </w:p>
    <w:p w14:paraId="369EFFA6">
      <w:pPr>
        <w:pStyle w:val="20"/>
        <w:tabs>
          <w:tab w:val="right" w:leader="dot" w:pos="9355"/>
        </w:tabs>
      </w:pPr>
      <w:r>
        <w:fldChar w:fldCharType="begin"/>
      </w:r>
      <w:r>
        <w:instrText xml:space="preserve"> HYPERLINK \l _Toc4728 </w:instrText>
      </w:r>
      <w:r>
        <w:fldChar w:fldCharType="separate"/>
      </w:r>
      <w:r>
        <w:rPr>
          <w:rFonts w:hint="eastAsia"/>
        </w:rPr>
        <w:t>参考文献</w:t>
      </w:r>
      <w:r>
        <w:tab/>
      </w:r>
      <w:r>
        <w:fldChar w:fldCharType="begin"/>
      </w:r>
      <w:r>
        <w:instrText xml:space="preserve"> PAGEREF _Toc4728 \h </w:instrText>
      </w:r>
      <w:r>
        <w:fldChar w:fldCharType="separate"/>
      </w:r>
      <w:r>
        <w:t>30</w:t>
      </w:r>
      <w:r>
        <w:fldChar w:fldCharType="end"/>
      </w:r>
      <w:r>
        <w:fldChar w:fldCharType="end"/>
      </w:r>
    </w:p>
    <w:p w14:paraId="1910FD22">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Borders>
            <w:top w:val="none" w:sz="0" w:space="0"/>
            <w:left w:val="none" w:sz="0" w:space="0"/>
            <w:bottom w:val="none" w:sz="0" w:space="0"/>
            <w:right w:val="none" w:sz="0" w:space="0"/>
          </w:pgBorders>
          <w:pgNumType w:fmt="upperRoman" w:start="1"/>
          <w:cols w:space="0" w:num="1"/>
          <w:formProt w:val="0"/>
          <w:docGrid w:linePitch="312" w:charSpace="0"/>
        </w:sectPr>
      </w:pPr>
      <w:r>
        <w:fldChar w:fldCharType="end"/>
      </w:r>
    </w:p>
    <w:bookmarkEnd w:id="17"/>
    <w:p w14:paraId="3BCBC7C9">
      <w:pPr>
        <w:pStyle w:val="96"/>
        <w:spacing w:before="850" w:after="680" w:afterLines="0"/>
      </w:pPr>
      <w:bookmarkStart w:id="21" w:name="_Toc2626"/>
      <w:bookmarkStart w:id="22" w:name="BookMark2"/>
      <w:r>
        <w:rPr>
          <w:rFonts w:hint="eastAsia"/>
          <w:spacing w:val="320"/>
        </w:rPr>
        <w:t>前</w:t>
      </w:r>
      <w:r>
        <w:rPr>
          <w:rFonts w:hint="eastAsia"/>
        </w:rPr>
        <w:t>言</w:t>
      </w:r>
      <w:bookmarkEnd w:id="18"/>
      <w:bookmarkEnd w:id="19"/>
      <w:bookmarkEnd w:id="20"/>
      <w:bookmarkEnd w:id="21"/>
      <w:r>
        <w:rPr>
          <w:rFonts w:hint="eastAsia"/>
        </w:rPr>
        <w:t xml:space="preserve">    </w:t>
      </w:r>
    </w:p>
    <w:p w14:paraId="13BC39F9">
      <w:pPr>
        <w:pStyle w:val="64"/>
      </w:pPr>
      <w:r>
        <w:rPr>
          <w:rFonts w:hint="eastAsia"/>
        </w:rPr>
        <w:t>本文件按照GB/T 1.1—2020《标准化工作导则  第1部分：标准化文件的结构和起草规则》的规定起草。</w:t>
      </w:r>
    </w:p>
    <w:p w14:paraId="3708B1AA">
      <w:pPr>
        <w:pStyle w:val="64"/>
      </w:pPr>
      <w:r>
        <w:rPr>
          <w:rFonts w:hint="eastAsia"/>
        </w:rPr>
        <w:t>本文件由中国欧洲经济技术合作协会提出并归口。</w:t>
      </w:r>
    </w:p>
    <w:p w14:paraId="58D91421">
      <w:pPr>
        <w:pStyle w:val="64"/>
        <w:rPr>
          <w:rFonts w:ascii="Calibri" w:hAnsi="Calibri"/>
          <w:kern w:val="2"/>
          <w:szCs w:val="21"/>
        </w:rPr>
      </w:pPr>
      <w:r>
        <w:rPr>
          <w:rFonts w:hint="eastAsia"/>
        </w:rPr>
        <w:t>本文件起草单位：。</w:t>
      </w:r>
    </w:p>
    <w:p w14:paraId="1AE62C9A">
      <w:pPr>
        <w:pStyle w:val="64"/>
        <w:rPr>
          <w:rFonts w:ascii="Calibri" w:hAnsi="Calibri"/>
          <w:kern w:val="2"/>
          <w:szCs w:val="21"/>
        </w:rPr>
      </w:pPr>
      <w:r>
        <w:rPr>
          <w:rFonts w:hint="eastAsia"/>
        </w:rPr>
        <w:t>本文件主要起草人：。</w:t>
      </w:r>
    </w:p>
    <w:p w14:paraId="0B49D808">
      <w:pPr>
        <w:pStyle w:val="64"/>
      </w:pPr>
      <w:r>
        <w:rPr>
          <w:rFonts w:hint="eastAsia"/>
        </w:rPr>
        <w:t>本文件首次发布。</w:t>
      </w:r>
    </w:p>
    <w:p w14:paraId="2AF15458">
      <w:pPr>
        <w:pStyle w:val="64"/>
      </w:pPr>
    </w:p>
    <w:p w14:paraId="073D789B">
      <w:pPr>
        <w:pStyle w:val="64"/>
        <w:sectPr>
          <w:footerReference r:id="rId14" w:type="default"/>
          <w:headerReference r:id="rId13" w:type="even"/>
          <w:footerReference r:id="rId15" w:type="even"/>
          <w:pgSz w:w="11906" w:h="16838"/>
          <w:pgMar w:top="1928" w:right="1134" w:bottom="1134" w:left="1134" w:header="1418" w:footer="1134" w:gutter="283"/>
          <w:pgBorders>
            <w:top w:val="none" w:sz="0" w:space="0"/>
            <w:left w:val="none" w:sz="0" w:space="0"/>
            <w:bottom w:val="none" w:sz="0" w:space="0"/>
            <w:right w:val="none" w:sz="0" w:space="0"/>
          </w:pgBorders>
          <w:pgNumType w:fmt="upperRoman"/>
          <w:cols w:space="0" w:num="1"/>
          <w:formProt w:val="0"/>
          <w:docGrid w:linePitch="312" w:charSpace="0"/>
        </w:sectPr>
      </w:pPr>
    </w:p>
    <w:bookmarkEnd w:id="22"/>
    <w:p w14:paraId="5C489478">
      <w:pPr>
        <w:spacing w:line="20" w:lineRule="exact"/>
        <w:rPr>
          <w:rFonts w:ascii="黑体" w:hAnsi="黑体" w:eastAsia="黑体"/>
          <w:sz w:val="32"/>
          <w:szCs w:val="32"/>
        </w:rPr>
      </w:pPr>
      <w:bookmarkStart w:id="23" w:name="BookMark4"/>
    </w:p>
    <w:p w14:paraId="6774A857">
      <w:pPr>
        <w:spacing w:line="20" w:lineRule="exact"/>
        <w:rPr>
          <w:rFonts w:ascii="黑体" w:hAnsi="黑体" w:eastAsia="黑体"/>
          <w:sz w:val="32"/>
          <w:szCs w:val="32"/>
        </w:rPr>
      </w:pPr>
    </w:p>
    <w:sdt>
      <w:sdtPr>
        <w:tag w:val="NEW_STAND_NAME"/>
        <w:id w:val="595910757"/>
        <w:placeholder>
          <w:docPart w:val="964679F935674F3AAF664F2D9EE905CD"/>
        </w:placeholder>
      </w:sdtPr>
      <w:sdtEndPr>
        <w:rPr>
          <w:rFonts w:hint="eastAsia"/>
        </w:rPr>
      </w:sdtEndPr>
      <w:sdtContent>
        <w:p w14:paraId="016B0F44">
          <w:pPr>
            <w:pStyle w:val="183"/>
            <w:spacing w:before="850" w:after="680" w:line="240" w:lineRule="auto"/>
          </w:pPr>
          <w:bookmarkStart w:id="24" w:name="NEW_STAND_NAME"/>
          <w:r>
            <w:rPr>
              <w:rFonts w:hint="eastAsia"/>
            </w:rPr>
            <w:t>固态变压器 第1部分：光伏并网用固态变压器</w:t>
          </w:r>
        </w:p>
      </w:sdtContent>
    </w:sdt>
    <w:bookmarkEnd w:id="24"/>
    <w:p w14:paraId="03354846">
      <w:pPr>
        <w:pStyle w:val="110"/>
      </w:pPr>
      <w:bookmarkStart w:id="25" w:name="_Toc24884218"/>
      <w:bookmarkStart w:id="26" w:name="_Toc17233333"/>
      <w:bookmarkStart w:id="27" w:name="_Toc8003"/>
      <w:bookmarkStart w:id="28" w:name="_Toc26648465"/>
      <w:bookmarkStart w:id="29" w:name="_Toc95723355"/>
      <w:bookmarkStart w:id="30" w:name="_Toc26718930"/>
      <w:bookmarkStart w:id="31" w:name="_Toc17233325"/>
      <w:bookmarkStart w:id="32" w:name="_Toc95920575"/>
      <w:bookmarkStart w:id="33" w:name="_Toc150158740"/>
      <w:bookmarkStart w:id="34" w:name="_Toc150158767"/>
      <w:bookmarkStart w:id="35" w:name="_Toc26986530"/>
      <w:bookmarkStart w:id="36" w:name="_Toc24884211"/>
      <w:bookmarkStart w:id="37" w:name="_Toc26986771"/>
      <w:bookmarkStart w:id="38" w:name="_Toc148612845"/>
      <w:bookmarkStart w:id="39" w:name="_Toc95920558"/>
      <w:r>
        <w:rPr>
          <w:rFonts w:hint="eastAsia"/>
        </w:rPr>
        <w:t>范围</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2E224B1F">
      <w:pPr>
        <w:pStyle w:val="64"/>
        <w:rPr>
          <w:highlight w:val="yellow"/>
        </w:rPr>
      </w:pPr>
      <w:r>
        <w:rPr>
          <w:rFonts w:hint="eastAsia"/>
        </w:rPr>
        <w:t>本文件规定了光伏并网用固态变压器（以下简称“固态变压器”）的缩略语、固态变压器分类、环境条件、性能要求、试验项目、标识与文档、包装、运输和贮存等相关要求。</w:t>
      </w:r>
    </w:p>
    <w:p w14:paraId="74A8B13F">
      <w:pPr>
        <w:pStyle w:val="64"/>
      </w:pPr>
      <w:r>
        <w:rPr>
          <w:rFonts w:hint="eastAsia"/>
        </w:rPr>
        <w:t>本文件适用于光伏交流并网用固态变压器。</w:t>
      </w:r>
    </w:p>
    <w:p w14:paraId="06A4AC4C">
      <w:pPr>
        <w:pStyle w:val="110"/>
      </w:pPr>
      <w:bookmarkStart w:id="40" w:name="_Toc26718931"/>
      <w:bookmarkStart w:id="41" w:name="_Toc95920576"/>
      <w:bookmarkStart w:id="42" w:name="_Toc26986531"/>
      <w:bookmarkStart w:id="43" w:name="_Toc95920559"/>
      <w:bookmarkStart w:id="44" w:name="_Toc26648466"/>
      <w:bookmarkStart w:id="45" w:name="_Toc26986772"/>
      <w:bookmarkStart w:id="46" w:name="_Toc1909"/>
      <w:bookmarkStart w:id="47" w:name="_Toc95723356"/>
      <w:bookmarkStart w:id="48" w:name="_Toc24884212"/>
      <w:bookmarkStart w:id="49" w:name="_Toc17233334"/>
      <w:bookmarkStart w:id="50" w:name="_Toc150158768"/>
      <w:bookmarkStart w:id="51" w:name="_Toc24884219"/>
      <w:bookmarkStart w:id="52" w:name="_Toc148612846"/>
      <w:bookmarkStart w:id="53" w:name="_Toc150158741"/>
      <w:bookmarkStart w:id="54" w:name="_Toc17233326"/>
      <w:r>
        <w:rPr>
          <w:rFonts w:hint="eastAsia"/>
        </w:rPr>
        <w:t>规范性引用文件</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sdt>
      <w:sdtPr>
        <w:rPr>
          <w:rFonts w:hint="eastAsia"/>
        </w:rPr>
        <w:id w:val="715848253"/>
        <w:placeholder>
          <w:docPart w:val="96BAE512D6244C93B11C9226217C537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67298C7">
          <w:pPr>
            <w:pStyle w:val="64"/>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55BFAD6">
      <w:pPr>
        <w:pStyle w:val="64"/>
        <w:jc w:val="left"/>
      </w:pPr>
      <w:bookmarkStart w:id="55" w:name="_Toc95723357"/>
      <w:r>
        <w:rPr>
          <w:rFonts w:hint="eastAsia"/>
        </w:rPr>
        <w:t>GB/T 311.1</w:t>
      </w:r>
      <w:r>
        <w:rPr>
          <w:rFonts w:hint="eastAsia"/>
          <w:lang w:val="en-US" w:eastAsia="zh-CN"/>
        </w:rPr>
        <w:t xml:space="preserve">  </w:t>
      </w:r>
      <w:r>
        <w:rPr>
          <w:rFonts w:hint="eastAsia"/>
        </w:rPr>
        <w:t>绝缘配合</w:t>
      </w:r>
      <w:r>
        <w:rPr>
          <w:rFonts w:hint="eastAsia"/>
          <w:lang w:val="en-US" w:eastAsia="zh-CN"/>
        </w:rPr>
        <w:t xml:space="preserve">  </w:t>
      </w:r>
      <w:r>
        <w:rPr>
          <w:rFonts w:hint="eastAsia"/>
        </w:rPr>
        <w:t>第1部分：定义、原则和规则</w:t>
      </w:r>
    </w:p>
    <w:p w14:paraId="54B2B6FD">
      <w:pPr>
        <w:pStyle w:val="64"/>
        <w:jc w:val="left"/>
        <w:rPr>
          <w:rFonts w:hint="eastAsia"/>
        </w:rPr>
      </w:pPr>
      <w:r>
        <w:rPr>
          <w:rFonts w:hint="eastAsia"/>
        </w:rPr>
        <w:t>GB/T 1094.1</w:t>
      </w:r>
      <w:r>
        <w:rPr>
          <w:rFonts w:hint="eastAsia"/>
          <w:lang w:val="en-US" w:eastAsia="zh-CN"/>
        </w:rPr>
        <w:t xml:space="preserve">  </w:t>
      </w:r>
      <w:r>
        <w:rPr>
          <w:rFonts w:hint="eastAsia"/>
        </w:rPr>
        <w:t>电力变压器</w:t>
      </w:r>
      <w:r>
        <w:rPr>
          <w:rFonts w:hint="eastAsia"/>
          <w:lang w:val="en-US" w:eastAsia="zh-CN"/>
        </w:rPr>
        <w:t xml:space="preserve">  </w:t>
      </w:r>
      <w:r>
        <w:rPr>
          <w:rFonts w:hint="eastAsia"/>
        </w:rPr>
        <w:t>第1部分：总则</w:t>
      </w:r>
    </w:p>
    <w:p w14:paraId="1511D72E">
      <w:pPr>
        <w:pStyle w:val="64"/>
        <w:jc w:val="left"/>
        <w:rPr>
          <w:rFonts w:hint="eastAsia"/>
        </w:rPr>
      </w:pPr>
      <w:r>
        <w:rPr>
          <w:rFonts w:hint="eastAsia"/>
        </w:rPr>
        <w:t>GB/T 1094.11</w:t>
      </w:r>
      <w:r>
        <w:rPr>
          <w:rFonts w:hint="eastAsia"/>
          <w:lang w:val="en-US" w:eastAsia="zh-CN"/>
        </w:rPr>
        <w:t xml:space="preserve">  </w:t>
      </w:r>
      <w:r>
        <w:rPr>
          <w:rFonts w:hint="eastAsia"/>
        </w:rPr>
        <w:t>电力变压器</w:t>
      </w:r>
      <w:r>
        <w:rPr>
          <w:rFonts w:hint="eastAsia"/>
          <w:lang w:val="en-US" w:eastAsia="zh-CN"/>
        </w:rPr>
        <w:t xml:space="preserve">  </w:t>
      </w:r>
      <w:r>
        <w:rPr>
          <w:rFonts w:hint="eastAsia"/>
        </w:rPr>
        <w:t>第11部分：干式变压器</w:t>
      </w:r>
    </w:p>
    <w:p w14:paraId="50B5FACF">
      <w:pPr>
        <w:pStyle w:val="64"/>
        <w:jc w:val="left"/>
        <w:rPr>
          <w:rFonts w:hint="eastAsia"/>
        </w:rPr>
      </w:pPr>
      <w:r>
        <w:rPr>
          <w:rFonts w:hint="eastAsia"/>
        </w:rPr>
        <w:t>GB/T 4798.3</w:t>
      </w:r>
      <w:r>
        <w:rPr>
          <w:rFonts w:hint="eastAsia"/>
          <w:lang w:val="en-US" w:eastAsia="zh-CN"/>
        </w:rPr>
        <w:t xml:space="preserve">  </w:t>
      </w:r>
      <w:r>
        <w:rPr>
          <w:rFonts w:hint="eastAsia"/>
        </w:rPr>
        <w:t xml:space="preserve">环境条件分类 </w:t>
      </w:r>
      <w:r>
        <w:rPr>
          <w:rFonts w:hint="eastAsia"/>
          <w:lang w:val="en-US" w:eastAsia="zh-CN"/>
        </w:rPr>
        <w:t xml:space="preserve"> </w:t>
      </w:r>
      <w:r>
        <w:rPr>
          <w:rFonts w:hint="eastAsia"/>
        </w:rPr>
        <w:t>环境参数组分类及其严酷程度分级</w:t>
      </w:r>
      <w:r>
        <w:rPr>
          <w:rFonts w:hint="eastAsia"/>
          <w:lang w:val="en-US" w:eastAsia="zh-CN"/>
        </w:rPr>
        <w:t xml:space="preserve"> </w:t>
      </w:r>
      <w:r>
        <w:rPr>
          <w:rFonts w:hint="eastAsia"/>
        </w:rPr>
        <w:t xml:space="preserve"> 第3部分：有气候防护场所固定使用</w:t>
      </w:r>
    </w:p>
    <w:p w14:paraId="6722DA2E">
      <w:pPr>
        <w:pStyle w:val="64"/>
        <w:jc w:val="left"/>
        <w:rPr>
          <w:rFonts w:hint="eastAsia"/>
        </w:rPr>
      </w:pPr>
      <w:r>
        <w:rPr>
          <w:rFonts w:hint="eastAsia"/>
        </w:rPr>
        <w:t>GB/T 12326</w:t>
      </w:r>
      <w:r>
        <w:rPr>
          <w:rFonts w:hint="eastAsia"/>
          <w:lang w:val="en-US" w:eastAsia="zh-CN"/>
        </w:rPr>
        <w:t xml:space="preserve">  </w:t>
      </w:r>
      <w:r>
        <w:rPr>
          <w:rFonts w:hint="eastAsia"/>
        </w:rPr>
        <w:t>电能质量</w:t>
      </w:r>
      <w:r>
        <w:rPr>
          <w:rFonts w:hint="eastAsia"/>
          <w:lang w:val="en-US" w:eastAsia="zh-CN"/>
        </w:rPr>
        <w:t xml:space="preserve">  </w:t>
      </w:r>
      <w:r>
        <w:rPr>
          <w:rFonts w:hint="eastAsia"/>
        </w:rPr>
        <w:t>电压波动和闪变</w:t>
      </w:r>
    </w:p>
    <w:p w14:paraId="3F19017C">
      <w:pPr>
        <w:pStyle w:val="64"/>
        <w:jc w:val="left"/>
        <w:rPr>
          <w:rFonts w:hint="eastAsia"/>
        </w:rPr>
      </w:pPr>
      <w:r>
        <w:rPr>
          <w:rFonts w:hint="eastAsia"/>
        </w:rPr>
        <w:t>GB/T 14549</w:t>
      </w:r>
      <w:r>
        <w:rPr>
          <w:rFonts w:hint="eastAsia"/>
          <w:lang w:val="en-US" w:eastAsia="zh-CN"/>
        </w:rPr>
        <w:t xml:space="preserve">  </w:t>
      </w:r>
      <w:r>
        <w:rPr>
          <w:rFonts w:hint="eastAsia"/>
        </w:rPr>
        <w:t xml:space="preserve">电能质量 </w:t>
      </w:r>
      <w:r>
        <w:rPr>
          <w:rFonts w:hint="eastAsia"/>
          <w:lang w:val="en-US" w:eastAsia="zh-CN"/>
        </w:rPr>
        <w:t xml:space="preserve"> </w:t>
      </w:r>
      <w:r>
        <w:rPr>
          <w:rFonts w:hint="eastAsia"/>
        </w:rPr>
        <w:t>公用电网谐波</w:t>
      </w:r>
    </w:p>
    <w:p w14:paraId="3D5AC5AB">
      <w:pPr>
        <w:pStyle w:val="64"/>
        <w:jc w:val="left"/>
        <w:rPr>
          <w:rFonts w:hint="eastAsia"/>
        </w:rPr>
      </w:pPr>
      <w:r>
        <w:rPr>
          <w:rFonts w:hint="eastAsia"/>
        </w:rPr>
        <w:t xml:space="preserve">GB/T 15543 </w:t>
      </w:r>
      <w:r>
        <w:rPr>
          <w:rFonts w:hint="eastAsia"/>
          <w:lang w:val="en-US" w:eastAsia="zh-CN"/>
        </w:rPr>
        <w:t xml:space="preserve"> </w:t>
      </w:r>
      <w:r>
        <w:rPr>
          <w:rFonts w:hint="eastAsia"/>
        </w:rPr>
        <w:t xml:space="preserve">电能质量 </w:t>
      </w:r>
      <w:r>
        <w:rPr>
          <w:rFonts w:hint="eastAsia"/>
          <w:lang w:val="en-US" w:eastAsia="zh-CN"/>
        </w:rPr>
        <w:t xml:space="preserve"> </w:t>
      </w:r>
      <w:r>
        <w:rPr>
          <w:rFonts w:hint="eastAsia"/>
        </w:rPr>
        <w:t>三相电压不平衡</w:t>
      </w:r>
    </w:p>
    <w:p w14:paraId="55B2A5C2">
      <w:pPr>
        <w:pStyle w:val="64"/>
        <w:jc w:val="left"/>
        <w:rPr>
          <w:rFonts w:hint="eastAsia"/>
        </w:rPr>
      </w:pPr>
      <w:r>
        <w:rPr>
          <w:rFonts w:hint="eastAsia"/>
        </w:rPr>
        <w:t>GB/T 17626</w:t>
      </w:r>
      <w:r>
        <w:rPr>
          <w:rFonts w:hint="eastAsia"/>
          <w:lang w:eastAsia="zh-CN"/>
        </w:rPr>
        <w:t>（</w:t>
      </w:r>
      <w:r>
        <w:rPr>
          <w:rFonts w:hint="eastAsia"/>
          <w:lang w:val="en-US" w:eastAsia="zh-CN"/>
        </w:rPr>
        <w:t>所有部分</w:t>
      </w:r>
      <w:r>
        <w:rPr>
          <w:rFonts w:hint="eastAsia"/>
          <w:lang w:eastAsia="zh-CN"/>
        </w:rPr>
        <w:t>）</w:t>
      </w:r>
      <w:r>
        <w:rPr>
          <w:rFonts w:hint="eastAsia"/>
          <w:lang w:val="en-US" w:eastAsia="zh-CN"/>
        </w:rPr>
        <w:t xml:space="preserve">  </w:t>
      </w:r>
      <w:r>
        <w:rPr>
          <w:rFonts w:hint="eastAsia"/>
        </w:rPr>
        <w:t>电磁兼容</w:t>
      </w:r>
      <w:r>
        <w:rPr>
          <w:rFonts w:hint="eastAsia"/>
          <w:lang w:val="en-US" w:eastAsia="zh-CN"/>
        </w:rPr>
        <w:t xml:space="preserve">  </w:t>
      </w:r>
      <w:r>
        <w:rPr>
          <w:rFonts w:hint="eastAsia"/>
        </w:rPr>
        <w:t>试验和测量技术</w:t>
      </w:r>
    </w:p>
    <w:p w14:paraId="5E5DFFDF">
      <w:pPr>
        <w:pStyle w:val="64"/>
        <w:jc w:val="left"/>
        <w:rPr>
          <w:rFonts w:hint="eastAsia"/>
        </w:rPr>
      </w:pPr>
      <w:r>
        <w:rPr>
          <w:rFonts w:hint="eastAsia"/>
        </w:rPr>
        <w:t>GB/T 19964</w:t>
      </w:r>
      <w:r>
        <w:rPr>
          <w:rFonts w:hint="eastAsia"/>
          <w:lang w:val="en-US" w:eastAsia="zh-CN"/>
        </w:rPr>
        <w:t xml:space="preserve">  </w:t>
      </w:r>
      <w:r>
        <w:rPr>
          <w:rFonts w:hint="eastAsia"/>
        </w:rPr>
        <w:t>光伏发电站接入电力系统技术规定</w:t>
      </w:r>
    </w:p>
    <w:p w14:paraId="572DE42E">
      <w:pPr>
        <w:pStyle w:val="64"/>
        <w:jc w:val="left"/>
        <w:rPr>
          <w:rFonts w:hint="eastAsia"/>
        </w:rPr>
      </w:pPr>
      <w:r>
        <w:rPr>
          <w:rFonts w:hint="eastAsia"/>
        </w:rPr>
        <w:t>GB/T 24337</w:t>
      </w:r>
      <w:r>
        <w:rPr>
          <w:rFonts w:hint="eastAsia"/>
          <w:lang w:val="en-US" w:eastAsia="zh-CN"/>
        </w:rPr>
        <w:t xml:space="preserve">  </w:t>
      </w:r>
      <w:r>
        <w:rPr>
          <w:rFonts w:hint="eastAsia"/>
        </w:rPr>
        <w:t>电能质量</w:t>
      </w:r>
      <w:r>
        <w:rPr>
          <w:rFonts w:hint="eastAsia"/>
          <w:lang w:val="en-US" w:eastAsia="zh-CN"/>
        </w:rPr>
        <w:t xml:space="preserve">  </w:t>
      </w:r>
      <w:r>
        <w:rPr>
          <w:rFonts w:hint="eastAsia"/>
        </w:rPr>
        <w:t>公用电网间谐波</w:t>
      </w:r>
    </w:p>
    <w:p w14:paraId="16978E35">
      <w:pPr>
        <w:pStyle w:val="64"/>
        <w:jc w:val="left"/>
        <w:rPr>
          <w:rFonts w:hint="eastAsia"/>
        </w:rPr>
      </w:pPr>
      <w:r>
        <w:rPr>
          <w:rFonts w:hint="eastAsia"/>
        </w:rPr>
        <w:t>GB/T 29319</w:t>
      </w:r>
      <w:r>
        <w:rPr>
          <w:rFonts w:hint="eastAsia"/>
          <w:lang w:val="en-US" w:eastAsia="zh-CN"/>
        </w:rPr>
        <w:t xml:space="preserve">  </w:t>
      </w:r>
      <w:r>
        <w:rPr>
          <w:rFonts w:hint="eastAsia"/>
        </w:rPr>
        <w:t>光伏发电系统接入配电网技术规定</w:t>
      </w:r>
    </w:p>
    <w:p w14:paraId="4F374465">
      <w:pPr>
        <w:pStyle w:val="64"/>
        <w:jc w:val="left"/>
        <w:rPr>
          <w:rFonts w:hint="eastAsia"/>
        </w:rPr>
      </w:pPr>
      <w:r>
        <w:rPr>
          <w:rFonts w:hint="eastAsia"/>
        </w:rPr>
        <w:t>GB/T 29629</w:t>
      </w:r>
      <w:r>
        <w:rPr>
          <w:rFonts w:hint="eastAsia"/>
          <w:lang w:val="en-US" w:eastAsia="zh-CN"/>
        </w:rPr>
        <w:t xml:space="preserve">  </w:t>
      </w:r>
      <w:r>
        <w:rPr>
          <w:rFonts w:hint="eastAsia"/>
        </w:rPr>
        <w:t>静止无功补偿装置水冷却设备</w:t>
      </w:r>
    </w:p>
    <w:p w14:paraId="4937EEEF">
      <w:pPr>
        <w:pStyle w:val="64"/>
        <w:jc w:val="left"/>
        <w:rPr>
          <w:rFonts w:hint="eastAsia"/>
        </w:rPr>
      </w:pPr>
      <w:r>
        <w:rPr>
          <w:rFonts w:hint="eastAsia"/>
        </w:rPr>
        <w:t>GB/T 34120</w:t>
      </w:r>
      <w:r>
        <w:rPr>
          <w:rFonts w:hint="eastAsia"/>
          <w:lang w:val="en-US" w:eastAsia="zh-CN"/>
        </w:rPr>
        <w:t xml:space="preserve">  </w:t>
      </w:r>
      <w:r>
        <w:rPr>
          <w:rFonts w:hint="eastAsia"/>
        </w:rPr>
        <w:t>电化学储能系统储能变流器技术要求</w:t>
      </w:r>
    </w:p>
    <w:p w14:paraId="03C7B8C3">
      <w:pPr>
        <w:pStyle w:val="64"/>
        <w:jc w:val="left"/>
        <w:rPr>
          <w:rFonts w:hint="eastAsia"/>
        </w:rPr>
      </w:pPr>
      <w:r>
        <w:rPr>
          <w:rFonts w:hint="eastAsia"/>
        </w:rPr>
        <w:t>GB/T 37409</w:t>
      </w:r>
      <w:r>
        <w:rPr>
          <w:rFonts w:hint="eastAsia"/>
          <w:lang w:val="en-US" w:eastAsia="zh-CN"/>
        </w:rPr>
        <w:t xml:space="preserve">  </w:t>
      </w:r>
      <w:r>
        <w:rPr>
          <w:rFonts w:hint="eastAsia"/>
        </w:rPr>
        <w:t>光伏发电并网逆变器检测技术规范</w:t>
      </w:r>
    </w:p>
    <w:p w14:paraId="6BBF805A">
      <w:pPr>
        <w:pStyle w:val="64"/>
        <w:jc w:val="left"/>
        <w:rPr>
          <w:rFonts w:hint="eastAsia"/>
        </w:rPr>
      </w:pPr>
      <w:r>
        <w:rPr>
          <w:rFonts w:hint="eastAsia"/>
        </w:rPr>
        <w:t>DL/T 1773</w:t>
      </w:r>
      <w:r>
        <w:rPr>
          <w:rFonts w:hint="eastAsia"/>
          <w:lang w:val="en-US" w:eastAsia="zh-CN"/>
        </w:rPr>
        <w:t xml:space="preserve">  </w:t>
      </w:r>
      <w:r>
        <w:rPr>
          <w:rFonts w:hint="eastAsia"/>
        </w:rPr>
        <w:t>电力系统电压和无功电力技术导则</w:t>
      </w:r>
    </w:p>
    <w:p w14:paraId="11BA7212">
      <w:pPr>
        <w:pStyle w:val="64"/>
        <w:jc w:val="left"/>
        <w:rPr>
          <w:rFonts w:hint="eastAsia"/>
          <w:lang w:eastAsia="zh-CN"/>
        </w:rPr>
      </w:pPr>
      <w:r>
        <w:rPr>
          <w:rFonts w:hint="eastAsia"/>
          <w:lang w:eastAsia="zh-CN"/>
        </w:rPr>
        <w:t>ISO 12944</w:t>
      </w:r>
      <w:r>
        <w:rPr>
          <w:rFonts w:hint="eastAsia"/>
          <w:lang w:val="en-US" w:eastAsia="zh-CN"/>
        </w:rPr>
        <w:t xml:space="preserve">  色漆和清漆  防护涂料系统对钢结构的腐蚀防护（</w:t>
      </w:r>
      <w:r>
        <w:rPr>
          <w:rFonts w:hint="eastAsia"/>
          <w:lang w:eastAsia="zh-CN"/>
        </w:rPr>
        <w:t>Paints and varnishes - Corrosion protection of steel structures by protective paint systems）</w:t>
      </w:r>
    </w:p>
    <w:p w14:paraId="1647B8ED">
      <w:pPr>
        <w:pStyle w:val="110"/>
      </w:pPr>
      <w:bookmarkStart w:id="56" w:name="_Toc557"/>
      <w:r>
        <w:rPr>
          <w:rFonts w:hint="eastAsia"/>
        </w:rPr>
        <w:t>术语和定义</w:t>
      </w:r>
      <w:bookmarkEnd w:id="56"/>
    </w:p>
    <w:p w14:paraId="588E1498">
      <w:pPr>
        <w:pStyle w:val="64"/>
        <w:rPr>
          <w:rFonts w:hint="eastAsia" w:eastAsia="宋体"/>
          <w:lang w:eastAsia="zh-CN"/>
        </w:rPr>
      </w:pPr>
      <w:r>
        <w:rPr>
          <w:rFonts w:hint="eastAsia"/>
        </w:rPr>
        <w:t>下列术语和定义适用于本文件。</w:t>
      </w:r>
    </w:p>
    <w:p w14:paraId="5DB8E368">
      <w:pPr>
        <w:pStyle w:val="168"/>
        <w:spacing w:before="0" w:after="0"/>
      </w:pPr>
    </w:p>
    <w:p w14:paraId="3D1DD33C">
      <w:pPr>
        <w:pStyle w:val="263"/>
        <w:rPr>
          <w:rFonts w:hint="eastAsia"/>
        </w:rPr>
      </w:pPr>
      <w:r>
        <w:rPr>
          <w:rFonts w:hint="eastAsia"/>
        </w:rPr>
        <w:t xml:space="preserve">固态变压器 solid state transformer </w:t>
      </w:r>
    </w:p>
    <w:p w14:paraId="188FF793">
      <w:pPr>
        <w:pStyle w:val="64"/>
        <w:rPr>
          <w:rFonts w:hint="eastAsia"/>
          <w:lang w:val="en-US" w:eastAsia="zh-CN"/>
        </w:rPr>
      </w:pPr>
      <w:r>
        <w:rPr>
          <w:rFonts w:hint="eastAsia"/>
        </w:rPr>
        <w:t>采用电力电子变换技术与高频隔离技术相结合，具备模块化、智能化</w:t>
      </w:r>
      <w:r>
        <w:rPr>
          <w:rFonts w:hint="eastAsia"/>
          <w:lang w:val="en-US" w:eastAsia="zh-CN"/>
        </w:rPr>
        <w:t>、可在中高压工作等</w:t>
      </w:r>
      <w:r>
        <w:rPr>
          <w:rFonts w:hint="eastAsia"/>
        </w:rPr>
        <w:t>特征，能实现电能的高效变换、并网控制及电能质量综合治理的电力电子装置。</w:t>
      </w:r>
    </w:p>
    <w:p w14:paraId="7CD8AEC8">
      <w:pPr>
        <w:pStyle w:val="168"/>
        <w:spacing w:before="0" w:after="0"/>
        <w:rPr>
          <w:rFonts w:hint="eastAsia"/>
        </w:rPr>
      </w:pPr>
    </w:p>
    <w:p w14:paraId="18F904F8">
      <w:pPr>
        <w:pStyle w:val="263"/>
        <w:rPr>
          <w:rFonts w:hint="eastAsia" w:eastAsia="黑体"/>
          <w:lang w:eastAsia="zh-CN"/>
        </w:rPr>
      </w:pPr>
      <w:r>
        <w:rPr>
          <w:rFonts w:hint="eastAsia"/>
          <w:highlight w:val="none"/>
        </w:rPr>
        <w:t>高频</w:t>
      </w:r>
      <w:r>
        <w:rPr>
          <w:rFonts w:hint="eastAsia"/>
        </w:rPr>
        <w:t>隔离变压器 high-frequency isolation transformer</w:t>
      </w:r>
    </w:p>
    <w:p w14:paraId="548B886E">
      <w:pPr>
        <w:pStyle w:val="64"/>
        <w:rPr>
          <w:rFonts w:hint="eastAsia"/>
        </w:rPr>
      </w:pPr>
      <w:r>
        <w:rPr>
          <w:rFonts w:hint="eastAsia"/>
        </w:rPr>
        <w:t>在固态变压器中起电压变换</w:t>
      </w:r>
      <w:r>
        <w:rPr>
          <w:rFonts w:hint="eastAsia"/>
          <w:lang w:val="en-US" w:eastAsia="zh-CN"/>
        </w:rPr>
        <w:t>（或包含谐振）</w:t>
      </w:r>
      <w:r>
        <w:rPr>
          <w:rFonts w:hint="eastAsia"/>
        </w:rPr>
        <w:t>和电气隔离作用的变压器</w:t>
      </w:r>
      <w:r>
        <w:rPr>
          <w:rFonts w:hint="eastAsia"/>
          <w:lang w:eastAsia="zh-CN"/>
        </w:rPr>
        <w:t>，</w:t>
      </w:r>
      <w:r>
        <w:rPr>
          <w:rFonts w:hint="eastAsia"/>
        </w:rPr>
        <w:t>其工作频率显著高于工频50</w:t>
      </w:r>
      <w:r>
        <w:rPr>
          <w:rFonts w:hint="default" w:ascii="Times New Roman" w:hAnsi="Times New Roman" w:cs="Times New Roman"/>
          <w:lang w:val="en-US" w:eastAsia="zh-CN"/>
        </w:rPr>
        <w:t xml:space="preserve"> </w:t>
      </w:r>
      <w:r>
        <w:rPr>
          <w:rFonts w:hint="eastAsia"/>
        </w:rPr>
        <w:t>Hz，采用高频软磁材料制备铁芯，能适配固态变压器高频化、小型化的设计要求。</w:t>
      </w:r>
    </w:p>
    <w:p w14:paraId="627AEF0F">
      <w:pPr>
        <w:pStyle w:val="185"/>
        <w:bidi w:val="0"/>
        <w:rPr>
          <w:rFonts w:hint="eastAsia"/>
          <w:lang w:val="en-US" w:eastAsia="zh-CN"/>
        </w:rPr>
      </w:pPr>
      <w:r>
        <w:rPr>
          <w:rFonts w:hint="eastAsia"/>
          <w:lang w:val="en-US" w:eastAsia="zh-CN"/>
        </w:rPr>
        <w:t>通常为1</w:t>
      </w:r>
      <w:r>
        <w:rPr>
          <w:rFonts w:hint="default" w:ascii="Times New Roman" w:hAnsi="Times New Roman" w:cs="Times New Roman"/>
          <w:lang w:val="en-US" w:eastAsia="zh-CN"/>
        </w:rPr>
        <w:t xml:space="preserve"> </w:t>
      </w:r>
      <w:r>
        <w:rPr>
          <w:rFonts w:hint="eastAsia"/>
          <w:lang w:val="en-US" w:eastAsia="zh-CN"/>
        </w:rPr>
        <w:t>kHz及以上。</w:t>
      </w:r>
    </w:p>
    <w:p w14:paraId="6E00134F">
      <w:pPr>
        <w:pStyle w:val="168"/>
        <w:spacing w:before="0" w:after="0"/>
      </w:pPr>
    </w:p>
    <w:p w14:paraId="13F1BC55">
      <w:pPr>
        <w:pStyle w:val="64"/>
        <w:rPr>
          <w:rFonts w:hAnsi="宋体"/>
          <w:szCs w:val="28"/>
        </w:rPr>
      </w:pPr>
      <w:r>
        <w:rPr>
          <w:rFonts w:hint="eastAsia" w:ascii="黑体" w:eastAsia="黑体"/>
        </w:rPr>
        <w:t xml:space="preserve">光伏交流并网用固态变压器 </w:t>
      </w:r>
      <w:r>
        <w:rPr>
          <w:rFonts w:hint="eastAsia" w:ascii="黑体" w:eastAsia="黑体"/>
          <w:lang w:eastAsia="zh-CN"/>
        </w:rPr>
        <w:t>solid state</w:t>
      </w:r>
      <w:r>
        <w:rPr>
          <w:rFonts w:ascii="黑体" w:eastAsia="黑体"/>
        </w:rPr>
        <w:t xml:space="preserve"> transformer for photovoltaic AC grid connection</w:t>
      </w:r>
    </w:p>
    <w:p w14:paraId="3BD2BB75">
      <w:pPr>
        <w:pStyle w:val="64"/>
        <w:rPr>
          <w:rFonts w:hAnsi="宋体"/>
          <w:szCs w:val="28"/>
        </w:rPr>
      </w:pPr>
      <w:r>
        <w:rPr>
          <w:rFonts w:hAnsi="宋体"/>
          <w:szCs w:val="28"/>
        </w:rPr>
        <w:t>采用电力电子变换技术，将光伏系统输出的</w:t>
      </w:r>
      <w:r>
        <w:rPr>
          <w:rFonts w:hint="eastAsia" w:hAnsi="宋体"/>
          <w:szCs w:val="28"/>
        </w:rPr>
        <w:t>直流</w:t>
      </w:r>
      <w:r>
        <w:rPr>
          <w:rFonts w:hAnsi="宋体"/>
          <w:szCs w:val="28"/>
        </w:rPr>
        <w:t>电转换为符合电网接入要求的交流电，实现电压变换、能量传输、并网控制及电能质量</w:t>
      </w:r>
      <w:r>
        <w:rPr>
          <w:rFonts w:hint="eastAsia" w:hAnsi="宋体"/>
          <w:szCs w:val="28"/>
        </w:rPr>
        <w:t>治理</w:t>
      </w:r>
      <w:r>
        <w:rPr>
          <w:rFonts w:hAnsi="宋体"/>
          <w:szCs w:val="28"/>
        </w:rPr>
        <w:t>的</w:t>
      </w:r>
      <w:r>
        <w:rPr>
          <w:rFonts w:hint="eastAsia" w:hAnsi="宋体"/>
          <w:szCs w:val="28"/>
        </w:rPr>
        <w:t>固态变压器。</w:t>
      </w:r>
    </w:p>
    <w:p w14:paraId="1E6E4249">
      <w:pPr>
        <w:pStyle w:val="168"/>
        <w:spacing w:before="0" w:after="0"/>
      </w:pPr>
    </w:p>
    <w:p w14:paraId="06F1A8A4">
      <w:pPr>
        <w:pStyle w:val="263"/>
        <w:rPr>
          <w:rFonts w:hAnsi="宋体"/>
          <w:szCs w:val="28"/>
        </w:rPr>
      </w:pPr>
      <w:r>
        <w:rPr>
          <w:rFonts w:hint="eastAsia"/>
        </w:rPr>
        <w:t>功率</w:t>
      </w:r>
      <w:r>
        <w:rPr>
          <w:rFonts w:hint="eastAsia" w:hAnsi="宋体"/>
          <w:szCs w:val="28"/>
        </w:rPr>
        <w:t>模块power module</w:t>
      </w:r>
    </w:p>
    <w:p w14:paraId="7FDF3EF1">
      <w:pPr>
        <w:pStyle w:val="64"/>
        <w:rPr>
          <w:rFonts w:hAnsi="宋体"/>
          <w:szCs w:val="28"/>
        </w:rPr>
      </w:pPr>
      <w:r>
        <w:rPr>
          <w:rFonts w:hint="eastAsia" w:hAnsi="宋体"/>
          <w:szCs w:val="28"/>
        </w:rPr>
        <w:t>由连接成的开关器件、高频隔离变压器以及辅助设备组成、具备单独运行功能的模块化电路结构，是固态变压器的基本单元。</w:t>
      </w:r>
    </w:p>
    <w:p w14:paraId="327E9990">
      <w:pPr>
        <w:pStyle w:val="168"/>
        <w:spacing w:before="0" w:after="0"/>
      </w:pPr>
    </w:p>
    <w:p w14:paraId="3DD60673">
      <w:pPr>
        <w:pStyle w:val="64"/>
        <w:rPr>
          <w:rFonts w:ascii="黑体" w:eastAsia="黑体"/>
        </w:rPr>
      </w:pPr>
      <w:r>
        <w:rPr>
          <w:rFonts w:hint="eastAsia" w:ascii="黑体" w:eastAsia="黑体"/>
        </w:rPr>
        <w:t>模块自动旁路功能 module automatic bypass function</w:t>
      </w:r>
    </w:p>
    <w:p w14:paraId="56C23B26">
      <w:pPr>
        <w:pStyle w:val="64"/>
      </w:pPr>
      <w:r>
        <w:rPr>
          <w:rFonts w:hint="eastAsia"/>
        </w:rPr>
        <w:t>固态变压器在运行过程中，当其中某一个功率模块发生故障，系统能自动检测出故障模块，并将其直接切除，切除过程产品不停机。</w:t>
      </w:r>
    </w:p>
    <w:p w14:paraId="746404AE">
      <w:pPr>
        <w:pStyle w:val="168"/>
        <w:spacing w:before="0" w:after="0"/>
      </w:pPr>
    </w:p>
    <w:p w14:paraId="3C148C49">
      <w:pPr>
        <w:pStyle w:val="64"/>
        <w:rPr>
          <w:rFonts w:ascii="黑体" w:eastAsia="黑体"/>
        </w:rPr>
      </w:pPr>
      <w:r>
        <w:rPr>
          <w:rFonts w:hint="eastAsia" w:ascii="黑体" w:eastAsia="黑体"/>
        </w:rPr>
        <w:t>故障穿越 fault ride through</w:t>
      </w:r>
    </w:p>
    <w:p w14:paraId="7B5696C5">
      <w:pPr>
        <w:pStyle w:val="64"/>
      </w:pPr>
      <w:r>
        <w:rPr>
          <w:rFonts w:hint="eastAsia"/>
        </w:rPr>
        <w:t>当电力系统事故或扰动引起固态变压器交流出口侧电压超过正常运行范围时，在规定的变化范围和时间间隔内，固态变压器能够保证不脱网连续运行。</w:t>
      </w:r>
    </w:p>
    <w:p w14:paraId="43E303FE">
      <w:pPr>
        <w:pStyle w:val="185"/>
      </w:pPr>
      <w:r>
        <w:rPr>
          <w:rFonts w:hint="eastAsia"/>
        </w:rPr>
        <w:t>故障穿越包括低电压穿越和高电压穿越。</w:t>
      </w:r>
    </w:p>
    <w:p w14:paraId="771D0DFF">
      <w:pPr>
        <w:pStyle w:val="168"/>
        <w:spacing w:before="0" w:after="0"/>
      </w:pPr>
    </w:p>
    <w:p w14:paraId="30AEF0F7">
      <w:pPr>
        <w:pStyle w:val="64"/>
      </w:pPr>
      <w:r>
        <w:rPr>
          <w:rFonts w:hint="eastAsia" w:ascii="黑体" w:eastAsia="黑体"/>
        </w:rPr>
        <w:t>低电压穿越 low voltage ride through</w:t>
      </w:r>
    </w:p>
    <w:p w14:paraId="425EFAFD">
      <w:pPr>
        <w:pStyle w:val="64"/>
      </w:pPr>
      <w:r>
        <w:rPr>
          <w:rFonts w:hint="eastAsia"/>
        </w:rPr>
        <w:t>当电力系统事故或扰动引起固态变压器交流出口侧电压跌落时，在一定的电压跌落范围和时间间隔内，固态变压器能够保证不脱网连续运行。</w:t>
      </w:r>
    </w:p>
    <w:p w14:paraId="50CF8BC8">
      <w:pPr>
        <w:pStyle w:val="168"/>
        <w:spacing w:before="0" w:after="0"/>
      </w:pPr>
    </w:p>
    <w:p w14:paraId="4532699F">
      <w:pPr>
        <w:pStyle w:val="64"/>
        <w:rPr>
          <w:rFonts w:ascii="黑体" w:eastAsia="黑体"/>
        </w:rPr>
      </w:pPr>
      <w:r>
        <w:rPr>
          <w:rFonts w:hint="eastAsia" w:ascii="黑体" w:eastAsia="黑体"/>
        </w:rPr>
        <w:t>高电压穿越 high voltage ride through</w:t>
      </w:r>
    </w:p>
    <w:p w14:paraId="3A0ADD2B">
      <w:pPr>
        <w:pStyle w:val="64"/>
      </w:pPr>
      <w:r>
        <w:rPr>
          <w:rFonts w:hint="eastAsia"/>
        </w:rPr>
        <w:t>当电力系统事故或扰动引起固态变压器交流出口侧电压升高时，在一定的电压升高范围和时间间隔内，固态变压器能够保证不脱网连续运行。</w:t>
      </w:r>
    </w:p>
    <w:p w14:paraId="4DD37D62">
      <w:pPr>
        <w:pStyle w:val="168"/>
        <w:spacing w:before="0" w:after="0"/>
      </w:pPr>
    </w:p>
    <w:p w14:paraId="457DEC5F">
      <w:pPr>
        <w:pStyle w:val="64"/>
        <w:rPr>
          <w:rFonts w:ascii="黑体" w:eastAsia="黑体"/>
        </w:rPr>
      </w:pPr>
      <w:r>
        <w:rPr>
          <w:rFonts w:hint="eastAsia" w:ascii="黑体" w:eastAsia="黑体"/>
        </w:rPr>
        <w:t>孤岛 islanding</w:t>
      </w:r>
    </w:p>
    <w:p w14:paraId="0AE1D534">
      <w:pPr>
        <w:pStyle w:val="64"/>
      </w:pPr>
      <w:r>
        <w:rPr>
          <w:rFonts w:hint="eastAsia"/>
        </w:rPr>
        <w:t>包含负荷和电源的部分电网，从主网脱离后继续孤立运行的状态。注：孤岛可分为非计划性孤岛和计划性孤岛。非计划性孤岛指的是非计划、不受控地发生孤岛。计划性孤岛指的是按预先配置的控制策略，有计划地发生孤岛</w:t>
      </w:r>
    </w:p>
    <w:p w14:paraId="14BCD375">
      <w:pPr>
        <w:pStyle w:val="168"/>
        <w:spacing w:before="0" w:after="0"/>
      </w:pPr>
    </w:p>
    <w:p w14:paraId="2B08DF62">
      <w:pPr>
        <w:pStyle w:val="64"/>
        <w:rPr>
          <w:rFonts w:ascii="黑体" w:eastAsia="黑体"/>
        </w:rPr>
      </w:pPr>
      <w:r>
        <w:rPr>
          <w:rFonts w:hint="eastAsia" w:ascii="黑体" w:eastAsia="黑体"/>
        </w:rPr>
        <w:t>防孤岛 anti-islanding</w:t>
      </w:r>
    </w:p>
    <w:p w14:paraId="557C463A">
      <w:pPr>
        <w:pStyle w:val="64"/>
        <w:rPr>
          <w:rFonts w:hint="eastAsia"/>
        </w:rPr>
      </w:pPr>
      <w:r>
        <w:rPr>
          <w:rFonts w:hint="eastAsia"/>
        </w:rPr>
        <w:t>防止非计划性孤岛现象的发生。</w:t>
      </w:r>
    </w:p>
    <w:p w14:paraId="42733832">
      <w:pPr>
        <w:pStyle w:val="110"/>
      </w:pPr>
      <w:bookmarkStart w:id="57" w:name="_Toc15687"/>
      <w:r>
        <w:rPr>
          <w:rFonts w:hint="eastAsia"/>
        </w:rPr>
        <w:t>略缩语</w:t>
      </w:r>
      <w:bookmarkEnd w:id="57"/>
    </w:p>
    <w:p w14:paraId="593FB8C5">
      <w:pPr>
        <w:pStyle w:val="64"/>
      </w:pPr>
      <w:r>
        <w:rPr>
          <w:rFonts w:hint="eastAsia"/>
        </w:rPr>
        <w:t>SST：固态变压器（</w:t>
      </w:r>
      <w:r>
        <w:rPr>
          <w:highlight w:val="none"/>
        </w:rPr>
        <w:t>Solid</w:t>
      </w:r>
      <w:r>
        <w:rPr>
          <w:rFonts w:hint="eastAsia"/>
          <w:highlight w:val="none"/>
        </w:rPr>
        <w:t xml:space="preserve"> </w:t>
      </w:r>
      <w:r>
        <w:rPr>
          <w:rFonts w:hint="eastAsia"/>
          <w:highlight w:val="none"/>
          <w:lang w:val="en-US" w:eastAsia="zh-CN"/>
        </w:rPr>
        <w:t>S</w:t>
      </w:r>
      <w:r>
        <w:rPr>
          <w:highlight w:val="none"/>
        </w:rPr>
        <w:t>tate</w:t>
      </w:r>
      <w:r>
        <w:t xml:space="preserve"> </w:t>
      </w:r>
      <w:r>
        <w:rPr>
          <w:rFonts w:hint="eastAsia"/>
          <w:lang w:val="en-US" w:eastAsia="zh-CN"/>
        </w:rPr>
        <w:t>T</w:t>
      </w:r>
      <w:r>
        <w:t>ransformer</w:t>
      </w:r>
      <w:r>
        <w:rPr>
          <w:rFonts w:hint="eastAsia"/>
        </w:rPr>
        <w:t>）</w:t>
      </w:r>
    </w:p>
    <w:p w14:paraId="7CA038E7">
      <w:pPr>
        <w:pStyle w:val="64"/>
      </w:pPr>
      <w:r>
        <w:rPr>
          <w:rFonts w:hint="eastAsia"/>
        </w:rPr>
        <w:t>MPPT：</w:t>
      </w:r>
      <w:r>
        <w:t>最大功率点跟踪</w:t>
      </w:r>
      <w:r>
        <w:rPr>
          <w:rFonts w:hint="eastAsia"/>
        </w:rPr>
        <w:t>（</w:t>
      </w:r>
      <w:r>
        <w:t>Maximum Power Point Tracking</w:t>
      </w:r>
      <w:r>
        <w:rPr>
          <w:rFonts w:hint="eastAsia"/>
        </w:rPr>
        <w:t>）</w:t>
      </w:r>
    </w:p>
    <w:p w14:paraId="29B3DFDE">
      <w:pPr>
        <w:pStyle w:val="64"/>
      </w:pPr>
      <w:r>
        <w:rPr>
          <w:rFonts w:hint="eastAsia"/>
        </w:rPr>
        <w:t>THD：</w:t>
      </w:r>
      <w:r>
        <w:t>总谐波畸变</w:t>
      </w:r>
      <w:r>
        <w:rPr>
          <w:rFonts w:hint="eastAsia"/>
        </w:rPr>
        <w:t>（</w:t>
      </w:r>
      <w:r>
        <w:t xml:space="preserve">Total </w:t>
      </w:r>
      <w:r>
        <w:rPr>
          <w:rFonts w:hint="eastAsia"/>
          <w:lang w:val="en-US" w:eastAsia="zh-CN"/>
        </w:rPr>
        <w:t>H</w:t>
      </w:r>
      <w:r>
        <w:t xml:space="preserve">armonic </w:t>
      </w:r>
      <w:r>
        <w:rPr>
          <w:rFonts w:hint="eastAsia"/>
          <w:lang w:val="en-US" w:eastAsia="zh-CN"/>
        </w:rPr>
        <w:t>D</w:t>
      </w:r>
      <w:r>
        <w:t>istortion</w:t>
      </w:r>
      <w:r>
        <w:rPr>
          <w:rFonts w:hint="eastAsia"/>
        </w:rPr>
        <w:t>）</w:t>
      </w:r>
    </w:p>
    <w:bookmarkEnd w:id="55"/>
    <w:p w14:paraId="74A01B7E">
      <w:pPr>
        <w:pStyle w:val="110"/>
        <w:rPr>
          <w:highlight w:val="none"/>
        </w:rPr>
      </w:pPr>
      <w:bookmarkStart w:id="58" w:name="_Toc28430"/>
      <w:bookmarkEnd w:id="58"/>
      <w:bookmarkStart w:id="59" w:name="_Toc4399"/>
      <w:bookmarkEnd w:id="59"/>
      <w:bookmarkStart w:id="60" w:name="_Toc11597"/>
      <w:bookmarkEnd w:id="60"/>
      <w:bookmarkStart w:id="61" w:name="_Toc4088"/>
      <w:bookmarkEnd w:id="61"/>
      <w:bookmarkStart w:id="62" w:name="_Toc23413"/>
      <w:bookmarkEnd w:id="62"/>
      <w:bookmarkStart w:id="63" w:name="_Toc17263"/>
      <w:bookmarkEnd w:id="63"/>
      <w:bookmarkStart w:id="64" w:name="_Toc17937"/>
      <w:bookmarkEnd w:id="64"/>
      <w:bookmarkStart w:id="65" w:name="_Toc1109"/>
      <w:bookmarkEnd w:id="65"/>
      <w:bookmarkStart w:id="66" w:name="_Toc31397"/>
      <w:r>
        <w:rPr>
          <w:rFonts w:hint="eastAsia"/>
          <w:highlight w:val="none"/>
        </w:rPr>
        <w:t>光伏并网用固态变压器分类</w:t>
      </w:r>
      <w:r>
        <w:rPr>
          <w:rFonts w:hint="eastAsia"/>
          <w:highlight w:val="none"/>
          <w:lang w:val="en-US" w:eastAsia="zh-CN"/>
        </w:rPr>
        <w:t>及系统组成</w:t>
      </w:r>
      <w:bookmarkEnd w:id="66"/>
    </w:p>
    <w:p w14:paraId="3D4B946E">
      <w:pPr>
        <w:pStyle w:val="111"/>
        <w:spacing w:before="120" w:after="120"/>
      </w:pPr>
      <w:bookmarkStart w:id="67" w:name="_Toc31294"/>
      <w:bookmarkStart w:id="68" w:name="_Toc214620372"/>
      <w:bookmarkStart w:id="69" w:name="_Toc28426"/>
      <w:bookmarkStart w:id="70" w:name="_Toc25912"/>
      <w:r>
        <w:rPr>
          <w:rFonts w:hint="eastAsia"/>
        </w:rPr>
        <w:t>按交流输出相数分类：</w:t>
      </w:r>
      <w:bookmarkEnd w:id="67"/>
      <w:bookmarkEnd w:id="68"/>
      <w:bookmarkEnd w:id="69"/>
      <w:bookmarkEnd w:id="70"/>
    </w:p>
    <w:p w14:paraId="178A09EB">
      <w:pPr>
        <w:pStyle w:val="64"/>
      </w:pPr>
      <w:r>
        <w:rPr>
          <w:rFonts w:hint="eastAsia"/>
        </w:rPr>
        <w:t>固态变压器按交流输出相数分类可分为：</w:t>
      </w:r>
    </w:p>
    <w:p w14:paraId="25AB3A90">
      <w:pPr>
        <w:pStyle w:val="180"/>
        <w:numPr>
          <w:ilvl w:val="0"/>
          <w:numId w:val="34"/>
        </w:numPr>
      </w:pPr>
      <w:r>
        <w:rPr>
          <w:rFonts w:hint="eastAsia"/>
        </w:rPr>
        <w:t>单相光伏并网用固态变压器；</w:t>
      </w:r>
    </w:p>
    <w:p w14:paraId="34F27703">
      <w:pPr>
        <w:pStyle w:val="180"/>
        <w:numPr>
          <w:ilvl w:val="0"/>
          <w:numId w:val="34"/>
        </w:numPr>
      </w:pPr>
      <w:r>
        <w:rPr>
          <w:rFonts w:hint="eastAsia"/>
        </w:rPr>
        <w:t>三相光伏并网用固态变压器。</w:t>
      </w:r>
    </w:p>
    <w:p w14:paraId="54CC799E">
      <w:pPr>
        <w:pStyle w:val="111"/>
        <w:spacing w:before="120" w:after="120"/>
      </w:pPr>
      <w:bookmarkStart w:id="71" w:name="_Toc214620373"/>
      <w:bookmarkStart w:id="72" w:name="_Toc3233"/>
      <w:bookmarkStart w:id="73" w:name="_Toc12651"/>
      <w:bookmarkStart w:id="74" w:name="_Toc4582"/>
      <w:r>
        <w:rPr>
          <w:rFonts w:hint="eastAsia"/>
        </w:rPr>
        <w:t>按使用环境分类</w:t>
      </w:r>
      <w:bookmarkEnd w:id="71"/>
      <w:bookmarkEnd w:id="72"/>
      <w:bookmarkEnd w:id="73"/>
      <w:bookmarkEnd w:id="74"/>
    </w:p>
    <w:p w14:paraId="43627FD6">
      <w:pPr>
        <w:pStyle w:val="64"/>
      </w:pPr>
      <w:r>
        <w:rPr>
          <w:rFonts w:hint="eastAsia"/>
        </w:rPr>
        <w:t>固态变压器按使用环境分类可分为：</w:t>
      </w:r>
    </w:p>
    <w:p w14:paraId="34CEFBA0">
      <w:pPr>
        <w:pStyle w:val="180"/>
        <w:numPr>
          <w:ilvl w:val="0"/>
          <w:numId w:val="35"/>
        </w:numPr>
      </w:pPr>
      <w:r>
        <w:rPr>
          <w:rFonts w:hint="eastAsia"/>
        </w:rPr>
        <w:t>户外型固态变压器，指完全或部分暴露在室外的固态变压器；</w:t>
      </w:r>
    </w:p>
    <w:p w14:paraId="0397FC86">
      <w:pPr>
        <w:pStyle w:val="180"/>
        <w:numPr>
          <w:ilvl w:val="0"/>
          <w:numId w:val="34"/>
        </w:numPr>
      </w:pPr>
      <w:r>
        <w:rPr>
          <w:rFonts w:hint="eastAsia"/>
        </w:rPr>
        <w:t>户内型固态变压器，指安装于建筑或防护罩内的固态变压器。</w:t>
      </w:r>
    </w:p>
    <w:p w14:paraId="78BF5A85">
      <w:pPr>
        <w:pStyle w:val="111"/>
        <w:spacing w:before="120" w:after="120"/>
      </w:pPr>
      <w:bookmarkStart w:id="75" w:name="_Toc15639"/>
      <w:bookmarkStart w:id="76" w:name="_Toc29545"/>
      <w:bookmarkStart w:id="77" w:name="_Toc214620374"/>
      <w:bookmarkStart w:id="78" w:name="_Toc3390"/>
      <w:r>
        <w:rPr>
          <w:rFonts w:hint="eastAsia"/>
        </w:rPr>
        <w:t>按接入电压等级分类</w:t>
      </w:r>
      <w:bookmarkEnd w:id="75"/>
      <w:bookmarkEnd w:id="76"/>
      <w:bookmarkEnd w:id="77"/>
      <w:bookmarkEnd w:id="78"/>
    </w:p>
    <w:p w14:paraId="6000A935">
      <w:pPr>
        <w:pStyle w:val="64"/>
      </w:pPr>
      <w:r>
        <w:rPr>
          <w:rFonts w:hint="eastAsia"/>
        </w:rPr>
        <w:t>固态变压器按接入电压等级分类可分为：</w:t>
      </w:r>
    </w:p>
    <w:p w14:paraId="14685110">
      <w:pPr>
        <w:pStyle w:val="180"/>
        <w:numPr>
          <w:ilvl w:val="0"/>
          <w:numId w:val="36"/>
        </w:numPr>
      </w:pPr>
      <w:r>
        <w:rPr>
          <w:rFonts w:hint="eastAsia"/>
        </w:rPr>
        <w:t>A类固态变压器，指应用于光伏发电站并网电压等级满足GB/T 19964的要求的固态变压器；</w:t>
      </w:r>
    </w:p>
    <w:p w14:paraId="00FAA17E">
      <w:pPr>
        <w:pStyle w:val="180"/>
        <w:numPr>
          <w:ilvl w:val="0"/>
          <w:numId w:val="34"/>
        </w:numPr>
      </w:pPr>
      <w:r>
        <w:rPr>
          <w:rFonts w:hint="eastAsia"/>
        </w:rPr>
        <w:t>B类固态变压器，指应用于光伏发电系统并网电压等级满足GB/T 29319的要求的固态变压器。</w:t>
      </w:r>
    </w:p>
    <w:p w14:paraId="36FBDC55">
      <w:pPr>
        <w:pStyle w:val="111"/>
        <w:spacing w:before="120" w:after="120"/>
        <w:rPr>
          <w:rFonts w:hint="eastAsia"/>
          <w:highlight w:val="none"/>
        </w:rPr>
      </w:pPr>
      <w:bookmarkStart w:id="79" w:name="_Toc1800"/>
      <w:bookmarkStart w:id="80" w:name="_Toc19435"/>
      <w:r>
        <w:rPr>
          <w:rFonts w:hint="eastAsia"/>
          <w:highlight w:val="none"/>
          <w:lang w:val="en-US" w:eastAsia="zh-CN"/>
        </w:rPr>
        <w:t>系统组成</w:t>
      </w:r>
      <w:bookmarkEnd w:id="79"/>
      <w:bookmarkEnd w:id="80"/>
    </w:p>
    <w:p w14:paraId="07F04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420" w:firstLineChars="200"/>
        <w:jc w:val="left"/>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光伏并网用固态变压器整体由功率变换单元、高频隔离变压器单元、控制保护单元、冷却单元、柜体（柜架）及辅助单元组成，各单元模块化设计，具备独立拆装、维护能力。其中：</w:t>
      </w:r>
    </w:p>
    <w:p w14:paraId="3EC4F37E">
      <w:pPr>
        <w:pStyle w:val="180"/>
        <w:numPr>
          <w:ilvl w:val="0"/>
          <w:numId w:val="37"/>
        </w:numPr>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柜体（柜架）：户外型柜体防护等级不低于 IP54，户内型柜体防护等级不低于IP20，柜体具备足够的机械强度和刚度，</w:t>
      </w:r>
      <w:r>
        <w:rPr>
          <w:rFonts w:hint="eastAsia" w:cs="Times New Roman"/>
          <w:kern w:val="0"/>
          <w:sz w:val="21"/>
          <w:szCs w:val="20"/>
          <w:highlight w:val="none"/>
          <w:lang w:val="en-US" w:eastAsia="zh-CN" w:bidi="ar-SA"/>
        </w:rPr>
        <w:t>户外型</w:t>
      </w:r>
      <w:r>
        <w:rPr>
          <w:rFonts w:hint="eastAsia" w:ascii="宋体" w:hAnsi="Times New Roman" w:eastAsia="宋体" w:cs="Times New Roman"/>
          <w:kern w:val="0"/>
          <w:sz w:val="21"/>
          <w:szCs w:val="20"/>
          <w:highlight w:val="none"/>
          <w:lang w:val="en-US" w:eastAsia="zh-CN" w:bidi="ar-SA"/>
        </w:rPr>
        <w:t>柜体防腐等级</w:t>
      </w:r>
      <w:r>
        <w:rPr>
          <w:rFonts w:hint="eastAsia" w:cs="Times New Roman"/>
          <w:kern w:val="0"/>
          <w:sz w:val="21"/>
          <w:szCs w:val="20"/>
          <w:highlight w:val="none"/>
          <w:lang w:val="en-US" w:eastAsia="zh-CN" w:bidi="ar-SA"/>
        </w:rPr>
        <w:t>应</w:t>
      </w:r>
      <w:r>
        <w:rPr>
          <w:rFonts w:hint="eastAsia" w:ascii="宋体" w:hAnsi="Times New Roman" w:eastAsia="宋体" w:cs="Times New Roman"/>
          <w:kern w:val="0"/>
          <w:sz w:val="21"/>
          <w:szCs w:val="20"/>
          <w:highlight w:val="none"/>
          <w:lang w:val="en-US" w:eastAsia="zh-CN" w:bidi="ar-SA"/>
        </w:rPr>
        <w:t>不低于ISO 12944</w:t>
      </w:r>
      <w:r>
        <w:rPr>
          <w:rFonts w:hint="eastAsia" w:cs="Times New Roman"/>
          <w:kern w:val="0"/>
          <w:sz w:val="21"/>
          <w:szCs w:val="20"/>
          <w:highlight w:val="none"/>
          <w:lang w:val="en-US" w:eastAsia="zh-CN" w:bidi="ar-SA"/>
        </w:rPr>
        <w:t>中的</w:t>
      </w:r>
      <w:r>
        <w:rPr>
          <w:rFonts w:hint="eastAsia" w:ascii="宋体" w:hAnsi="Times New Roman" w:eastAsia="宋体" w:cs="Times New Roman"/>
          <w:kern w:val="0"/>
          <w:sz w:val="21"/>
          <w:szCs w:val="20"/>
          <w:highlight w:val="none"/>
          <w:lang w:val="en-US" w:eastAsia="zh-CN" w:bidi="ar-SA"/>
        </w:rPr>
        <w:t>C4级</w:t>
      </w:r>
      <w:r>
        <w:rPr>
          <w:rFonts w:hint="eastAsia" w:cs="Times New Roman"/>
          <w:kern w:val="0"/>
          <w:sz w:val="21"/>
          <w:szCs w:val="20"/>
          <w:highlight w:val="none"/>
          <w:lang w:val="en-US" w:eastAsia="zh-CN" w:bidi="ar-SA"/>
        </w:rPr>
        <w:t>，户内型</w:t>
      </w:r>
      <w:r>
        <w:rPr>
          <w:rFonts w:hint="eastAsia" w:ascii="宋体" w:hAnsi="Times New Roman" w:eastAsia="宋体" w:cs="Times New Roman"/>
          <w:kern w:val="0"/>
          <w:sz w:val="21"/>
          <w:szCs w:val="20"/>
          <w:highlight w:val="none"/>
          <w:lang w:val="en-US" w:eastAsia="zh-CN" w:bidi="ar-SA"/>
        </w:rPr>
        <w:t>柜体防腐等级</w:t>
      </w:r>
      <w:r>
        <w:rPr>
          <w:rFonts w:hint="eastAsia" w:cs="Times New Roman"/>
          <w:kern w:val="0"/>
          <w:sz w:val="21"/>
          <w:szCs w:val="20"/>
          <w:highlight w:val="none"/>
          <w:lang w:val="en-US" w:eastAsia="zh-CN" w:bidi="ar-SA"/>
        </w:rPr>
        <w:t>可降级选用</w:t>
      </w:r>
      <w:r>
        <w:rPr>
          <w:rFonts w:hint="eastAsia" w:ascii="宋体" w:hAnsi="Times New Roman" w:eastAsia="宋体" w:cs="Times New Roman"/>
          <w:kern w:val="0"/>
          <w:sz w:val="21"/>
          <w:szCs w:val="20"/>
          <w:highlight w:val="none"/>
          <w:lang w:val="en-US" w:eastAsia="zh-CN" w:bidi="ar-SA"/>
        </w:rPr>
        <w:t>；</w:t>
      </w:r>
    </w:p>
    <w:p w14:paraId="3F312918">
      <w:pPr>
        <w:pStyle w:val="180"/>
        <w:numPr>
          <w:ilvl w:val="0"/>
          <w:numId w:val="37"/>
        </w:numPr>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功率变换单元：由SiC</w:t>
      </w:r>
      <w:r>
        <w:rPr>
          <w:rFonts w:hint="eastAsia" w:cs="Times New Roman"/>
          <w:kern w:val="0"/>
          <w:sz w:val="21"/>
          <w:szCs w:val="20"/>
          <w:highlight w:val="none"/>
          <w:lang w:val="en-US" w:eastAsia="zh-CN" w:bidi="ar-SA"/>
        </w:rPr>
        <w:t xml:space="preserve"> Mosfet</w:t>
      </w:r>
      <w:r>
        <w:rPr>
          <w:rFonts w:hint="eastAsia" w:ascii="宋体" w:hAnsi="Times New Roman" w:eastAsia="宋体" w:cs="Times New Roman"/>
          <w:kern w:val="0"/>
          <w:sz w:val="21"/>
          <w:szCs w:val="20"/>
          <w:highlight w:val="none"/>
          <w:lang w:val="en-US" w:eastAsia="zh-CN" w:bidi="ar-SA"/>
        </w:rPr>
        <w:t>/IGBT</w:t>
      </w:r>
      <w:r>
        <w:rPr>
          <w:rFonts w:hint="eastAsia" w:cs="Times New Roman"/>
          <w:kern w:val="0"/>
          <w:sz w:val="21"/>
          <w:szCs w:val="20"/>
          <w:highlight w:val="none"/>
          <w:lang w:val="en-US" w:eastAsia="zh-CN" w:bidi="ar-SA"/>
        </w:rPr>
        <w:t>等</w:t>
      </w:r>
      <w:r>
        <w:rPr>
          <w:rFonts w:hint="eastAsia" w:ascii="宋体" w:hAnsi="Times New Roman" w:eastAsia="宋体" w:cs="Times New Roman"/>
          <w:kern w:val="0"/>
          <w:sz w:val="21"/>
          <w:szCs w:val="20"/>
          <w:highlight w:val="none"/>
          <w:lang w:val="en-US" w:eastAsia="zh-CN" w:bidi="ar-SA"/>
        </w:rPr>
        <w:t>功率模块组成的</w:t>
      </w:r>
      <w:r>
        <w:rPr>
          <w:rFonts w:hint="eastAsia" w:cs="Times New Roman"/>
          <w:kern w:val="0"/>
          <w:sz w:val="21"/>
          <w:szCs w:val="20"/>
          <w:highlight w:val="none"/>
          <w:lang w:val="en-US" w:eastAsia="zh-CN" w:bidi="ar-SA"/>
        </w:rPr>
        <w:t>功率变换</w:t>
      </w:r>
      <w:r>
        <w:rPr>
          <w:rFonts w:hint="eastAsia" w:ascii="宋体" w:hAnsi="Times New Roman" w:eastAsia="宋体" w:cs="Times New Roman"/>
          <w:kern w:val="0"/>
          <w:sz w:val="21"/>
          <w:szCs w:val="20"/>
          <w:highlight w:val="none"/>
          <w:lang w:val="en-US" w:eastAsia="zh-CN" w:bidi="ar-SA"/>
        </w:rPr>
        <w:t>拓扑，是电能变换的核心单元；</w:t>
      </w:r>
    </w:p>
    <w:p w14:paraId="24B9B5EF">
      <w:pPr>
        <w:pStyle w:val="180"/>
        <w:numPr>
          <w:ilvl w:val="0"/>
          <w:numId w:val="37"/>
        </w:numPr>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高频隔离变压器单元：实现电气隔离</w:t>
      </w:r>
      <w:r>
        <w:rPr>
          <w:rFonts w:hint="eastAsia" w:cs="Times New Roman"/>
          <w:kern w:val="0"/>
          <w:sz w:val="21"/>
          <w:szCs w:val="20"/>
          <w:highlight w:val="none"/>
          <w:lang w:val="en-US" w:eastAsia="zh-CN" w:bidi="ar-SA"/>
        </w:rPr>
        <w:t>（或包含谐振）</w:t>
      </w:r>
      <w:r>
        <w:rPr>
          <w:rFonts w:hint="eastAsia" w:ascii="宋体" w:hAnsi="Times New Roman" w:eastAsia="宋体" w:cs="Times New Roman"/>
          <w:kern w:val="0"/>
          <w:sz w:val="21"/>
          <w:szCs w:val="20"/>
          <w:highlight w:val="none"/>
          <w:lang w:val="en-US" w:eastAsia="zh-CN" w:bidi="ar-SA"/>
        </w:rPr>
        <w:t>和电压变换，是固态变压器的关键单元；</w:t>
      </w:r>
    </w:p>
    <w:p w14:paraId="326B3E7F">
      <w:pPr>
        <w:pStyle w:val="180"/>
        <w:numPr>
          <w:ilvl w:val="0"/>
          <w:numId w:val="37"/>
        </w:numPr>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控制保护单元：实现设备的运行控制、状态监测和故障保护；</w:t>
      </w:r>
    </w:p>
    <w:p w14:paraId="57F7F196">
      <w:pPr>
        <w:pStyle w:val="180"/>
        <w:numPr>
          <w:ilvl w:val="0"/>
          <w:numId w:val="37"/>
        </w:numPr>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冷却单元：采用风冷或</w:t>
      </w:r>
      <w:r>
        <w:rPr>
          <w:rFonts w:hint="eastAsia" w:cs="Times New Roman"/>
          <w:kern w:val="0"/>
          <w:sz w:val="21"/>
          <w:szCs w:val="20"/>
          <w:highlight w:val="none"/>
          <w:lang w:val="en-US" w:eastAsia="zh-CN" w:bidi="ar-SA"/>
        </w:rPr>
        <w:t>液冷</w:t>
      </w:r>
      <w:r>
        <w:rPr>
          <w:rFonts w:hint="eastAsia" w:ascii="宋体" w:hAnsi="Times New Roman" w:eastAsia="宋体" w:cs="Times New Roman"/>
          <w:kern w:val="0"/>
          <w:sz w:val="21"/>
          <w:szCs w:val="20"/>
          <w:highlight w:val="none"/>
          <w:lang w:val="en-US" w:eastAsia="zh-CN" w:bidi="ar-SA"/>
        </w:rPr>
        <w:t>方式，保证设备在额定工况下的温升满足要求；</w:t>
      </w:r>
    </w:p>
    <w:p w14:paraId="45DB059C">
      <w:pPr>
        <w:pStyle w:val="180"/>
        <w:numPr>
          <w:ilvl w:val="0"/>
          <w:numId w:val="37"/>
        </w:numPr>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辅助单元：包括电源、通信、接线端子等，为设备运行提供辅助支撑。</w:t>
      </w:r>
    </w:p>
    <w:p w14:paraId="2A12079C">
      <w:pPr>
        <w:pStyle w:val="110"/>
      </w:pPr>
      <w:bookmarkStart w:id="81" w:name="_Toc7973"/>
      <w:r>
        <w:rPr>
          <w:rFonts w:hint="eastAsia"/>
        </w:rPr>
        <w:t>环境条件</w:t>
      </w:r>
      <w:bookmarkEnd w:id="81"/>
    </w:p>
    <w:p w14:paraId="10BAC54A">
      <w:pPr>
        <w:pStyle w:val="111"/>
        <w:spacing w:before="120" w:after="120"/>
      </w:pPr>
      <w:bookmarkStart w:id="82" w:name="_Toc26202"/>
      <w:bookmarkStart w:id="83" w:name="_Toc214620376"/>
      <w:bookmarkStart w:id="84" w:name="_Toc9898"/>
      <w:r>
        <w:rPr>
          <w:rFonts w:hint="eastAsia"/>
        </w:rPr>
        <w:t>污染等级</w:t>
      </w:r>
      <w:bookmarkEnd w:id="82"/>
      <w:bookmarkEnd w:id="83"/>
      <w:bookmarkEnd w:id="84"/>
    </w:p>
    <w:p w14:paraId="682F7026">
      <w:pPr>
        <w:pStyle w:val="73"/>
        <w:spacing w:before="120" w:after="120"/>
        <w:ind w:left="0" w:leftChars="0" w:firstLineChars="0"/>
      </w:pPr>
      <w:r>
        <w:rPr>
          <w:rFonts w:hint="eastAsia"/>
        </w:rPr>
        <w:t>污染等级分类</w:t>
      </w:r>
    </w:p>
    <w:p w14:paraId="7EEE5634">
      <w:pPr>
        <w:pStyle w:val="64"/>
      </w:pPr>
      <w:r>
        <w:rPr>
          <w:rFonts w:hint="eastAsia"/>
        </w:rPr>
        <w:t>固态变压器外部环境的污染等级可分为：</w:t>
      </w:r>
    </w:p>
    <w:p w14:paraId="186DFCBC">
      <w:pPr>
        <w:pStyle w:val="180"/>
        <w:numPr>
          <w:ilvl w:val="0"/>
          <w:numId w:val="38"/>
        </w:numPr>
        <w:rPr>
          <w:b w:val="0"/>
          <w:bCs w:val="0"/>
          <w:color w:val="auto"/>
          <w:highlight w:val="none"/>
        </w:rPr>
      </w:pPr>
      <w:r>
        <w:rPr>
          <w:rFonts w:hint="eastAsia"/>
          <w:b w:val="0"/>
          <w:bCs w:val="0"/>
          <w:color w:val="auto"/>
          <w:highlight w:val="none"/>
        </w:rPr>
        <w:t>污染等级1：无污染或仅有干燥的非导电性污染；</w:t>
      </w:r>
    </w:p>
    <w:p w14:paraId="4E8564E1">
      <w:pPr>
        <w:pStyle w:val="180"/>
        <w:numPr>
          <w:ilvl w:val="0"/>
          <w:numId w:val="38"/>
        </w:numPr>
        <w:rPr>
          <w:b w:val="0"/>
          <w:bCs w:val="0"/>
          <w:color w:val="auto"/>
          <w:highlight w:val="none"/>
        </w:rPr>
      </w:pPr>
      <w:r>
        <w:rPr>
          <w:rFonts w:hint="eastAsia"/>
          <w:b w:val="0"/>
          <w:bCs w:val="0"/>
          <w:color w:val="auto"/>
          <w:highlight w:val="none"/>
        </w:rPr>
        <w:t>污染等级2：一般情况下仅有非导电性污染，但应考虑到偶然由于凝露造成的短暂导电性污染；</w:t>
      </w:r>
    </w:p>
    <w:p w14:paraId="6E7BE87F">
      <w:pPr>
        <w:pStyle w:val="180"/>
        <w:numPr>
          <w:ilvl w:val="0"/>
          <w:numId w:val="38"/>
        </w:numPr>
        <w:rPr>
          <w:rFonts w:hint="eastAsia"/>
          <w:b w:val="0"/>
          <w:bCs w:val="0"/>
          <w:color w:val="auto"/>
          <w:highlight w:val="none"/>
        </w:rPr>
      </w:pPr>
      <w:r>
        <w:rPr>
          <w:rFonts w:hint="eastAsia"/>
          <w:b w:val="0"/>
          <w:bCs w:val="0"/>
          <w:color w:val="auto"/>
          <w:highlight w:val="none"/>
        </w:rPr>
        <w:t>污染等级3：有导电性污染，或由于凝露使干燥的非导电性污染变为导电性污染；</w:t>
      </w:r>
    </w:p>
    <w:p w14:paraId="22934B65">
      <w:pPr>
        <w:pStyle w:val="180"/>
        <w:numPr>
          <w:ilvl w:val="0"/>
          <w:numId w:val="38"/>
        </w:numPr>
        <w:rPr>
          <w:rFonts w:hint="eastAsia"/>
          <w:b w:val="0"/>
          <w:bCs w:val="0"/>
          <w:color w:val="auto"/>
          <w:highlight w:val="none"/>
        </w:rPr>
      </w:pPr>
      <w:r>
        <w:rPr>
          <w:rFonts w:hint="eastAsia"/>
          <w:b w:val="0"/>
          <w:bCs w:val="0"/>
          <w:color w:val="auto"/>
          <w:highlight w:val="none"/>
        </w:rPr>
        <w:t>污染等级4：持久的导电性污染，如由于导电尘埃或雨雪造成的污染。</w:t>
      </w:r>
    </w:p>
    <w:p w14:paraId="07C033E4">
      <w:pPr>
        <w:pStyle w:val="73"/>
        <w:spacing w:before="120" w:after="120"/>
        <w:ind w:left="0" w:leftChars="0" w:firstLineChars="0"/>
      </w:pPr>
      <w:r>
        <w:rPr>
          <w:rFonts w:hint="eastAsia"/>
        </w:rPr>
        <w:t>污染等级耐受能力</w:t>
      </w:r>
    </w:p>
    <w:p w14:paraId="73936F44">
      <w:pPr>
        <w:pStyle w:val="64"/>
      </w:pPr>
      <w:r>
        <w:rPr>
          <w:rFonts w:hint="eastAsia"/>
        </w:rPr>
        <w:t>固态变压器应能耐受污染等级应满足如下要求：</w:t>
      </w:r>
    </w:p>
    <w:p w14:paraId="7A2081CE">
      <w:pPr>
        <w:pStyle w:val="180"/>
        <w:numPr>
          <w:ilvl w:val="0"/>
          <w:numId w:val="39"/>
        </w:numPr>
        <w:rPr>
          <w:rFonts w:hint="eastAsia"/>
          <w:b w:val="0"/>
          <w:bCs w:val="0"/>
          <w:color w:val="auto"/>
          <w:highlight w:val="none"/>
        </w:rPr>
      </w:pPr>
      <w:r>
        <w:rPr>
          <w:rFonts w:hint="eastAsia"/>
          <w:b w:val="0"/>
          <w:bCs w:val="0"/>
          <w:color w:val="auto"/>
          <w:highlight w:val="none"/>
        </w:rPr>
        <w:t>户外型固态变压器应满足在污染等级3的条件下正常使用的要求；沿海、高粉尘等特殊恶劣环境用户外型固态变压器应满足污染等级4的耐受要求；</w:t>
      </w:r>
    </w:p>
    <w:p w14:paraId="4C20B0A6">
      <w:pPr>
        <w:pStyle w:val="180"/>
        <w:numPr>
          <w:ilvl w:val="0"/>
          <w:numId w:val="39"/>
        </w:numPr>
        <w:rPr>
          <w:rFonts w:hint="eastAsia"/>
          <w:b w:val="0"/>
          <w:bCs w:val="0"/>
          <w:color w:val="auto"/>
          <w:highlight w:val="none"/>
        </w:rPr>
      </w:pPr>
      <w:r>
        <w:rPr>
          <w:rFonts w:hint="eastAsia"/>
          <w:b w:val="0"/>
          <w:bCs w:val="0"/>
          <w:color w:val="auto"/>
          <w:highlight w:val="none"/>
        </w:rPr>
        <w:t>户内固态变压器应满足在污染等级2的条件下正常使用的要求。洁净控制室用户内型固态变压器可按污染等级1设计。</w:t>
      </w:r>
    </w:p>
    <w:p w14:paraId="1D25B10A">
      <w:pPr>
        <w:pStyle w:val="73"/>
        <w:spacing w:before="120" w:after="120"/>
        <w:ind w:left="0" w:leftChars="0" w:firstLineChars="0"/>
      </w:pPr>
      <w:r>
        <w:rPr>
          <w:rFonts w:hint="eastAsia"/>
        </w:rPr>
        <w:t>污染等级变更</w:t>
      </w:r>
    </w:p>
    <w:p w14:paraId="4A059337">
      <w:pPr>
        <w:pStyle w:val="64"/>
      </w:pPr>
      <w:r>
        <w:rPr>
          <w:rFonts w:hint="eastAsia"/>
        </w:rPr>
        <w:t>固态变压器内部特定区域采用相关防护措施时，固态变压器内部特定区域的污染等级变更见表1。</w:t>
      </w:r>
    </w:p>
    <w:p w14:paraId="52ED82DD">
      <w:pPr>
        <w:pStyle w:val="118"/>
      </w:pPr>
      <w:r>
        <w:rPr>
          <w:rFonts w:hint="eastAsia"/>
        </w:rPr>
        <w:t>降低污染等级的防护措施</w:t>
      </w:r>
    </w:p>
    <w:tbl>
      <w:tblPr>
        <w:tblStyle w:val="29"/>
        <w:tblW w:w="4061" w:type="pct"/>
        <w:jc w:val="center"/>
        <w:tblLayout w:type="autofit"/>
        <w:tblCellMar>
          <w:top w:w="0" w:type="dxa"/>
          <w:left w:w="108" w:type="dxa"/>
          <w:bottom w:w="0" w:type="dxa"/>
          <w:right w:w="108" w:type="dxa"/>
        </w:tblCellMar>
      </w:tblPr>
      <w:tblGrid>
        <w:gridCol w:w="2279"/>
        <w:gridCol w:w="1832"/>
        <w:gridCol w:w="1819"/>
        <w:gridCol w:w="1844"/>
      </w:tblGrid>
      <w:tr w14:paraId="44F11C42">
        <w:tblPrEx>
          <w:tblCellMar>
            <w:top w:w="0" w:type="dxa"/>
            <w:left w:w="108" w:type="dxa"/>
            <w:bottom w:w="0" w:type="dxa"/>
            <w:right w:w="108" w:type="dxa"/>
          </w:tblCellMar>
        </w:tblPrEx>
        <w:trPr>
          <w:trHeight w:val="23" w:hRule="atLeast"/>
          <w:jc w:val="center"/>
        </w:trPr>
        <w:tc>
          <w:tcPr>
            <w:tcW w:w="1466" w:type="pct"/>
            <w:tcBorders>
              <w:top w:val="single" w:color="000000" w:sz="4" w:space="0"/>
              <w:left w:val="single" w:color="000000" w:sz="4" w:space="0"/>
              <w:bottom w:val="single" w:color="000000" w:sz="4" w:space="0"/>
              <w:right w:val="single" w:color="000000" w:sz="4" w:space="0"/>
            </w:tcBorders>
            <w:vAlign w:val="center"/>
          </w:tcPr>
          <w:p w14:paraId="7CC248F9">
            <w:pPr>
              <w:pStyle w:val="184"/>
              <w:rPr>
                <w:szCs w:val="18"/>
              </w:rPr>
            </w:pPr>
            <w:r>
              <w:rPr>
                <w:szCs w:val="18"/>
              </w:rPr>
              <w:t>附加防护</w:t>
            </w:r>
          </w:p>
        </w:tc>
        <w:tc>
          <w:tcPr>
            <w:tcW w:w="1178" w:type="pct"/>
            <w:tcBorders>
              <w:top w:val="single" w:color="000000" w:sz="4" w:space="0"/>
              <w:left w:val="single" w:color="000000" w:sz="4" w:space="0"/>
              <w:bottom w:val="single" w:color="000000" w:sz="4" w:space="0"/>
              <w:right w:val="single" w:color="000000" w:sz="4" w:space="0"/>
            </w:tcBorders>
            <w:vAlign w:val="center"/>
          </w:tcPr>
          <w:p w14:paraId="44767FDA">
            <w:pPr>
              <w:pStyle w:val="184"/>
              <w:rPr>
                <w:szCs w:val="18"/>
              </w:rPr>
            </w:pPr>
            <w:r>
              <w:rPr>
                <w:szCs w:val="18"/>
              </w:rPr>
              <w:t>从外部环境污染</w:t>
            </w:r>
            <w:r>
              <w:rPr>
                <w:rFonts w:hint="eastAsia"/>
                <w:szCs w:val="18"/>
              </w:rPr>
              <w:br w:type="textWrapping"/>
            </w:r>
            <w:r>
              <w:rPr>
                <w:szCs w:val="18"/>
              </w:rPr>
              <w:t>等级2到：</w:t>
            </w:r>
          </w:p>
        </w:tc>
        <w:tc>
          <w:tcPr>
            <w:tcW w:w="1170" w:type="pct"/>
            <w:tcBorders>
              <w:top w:val="single" w:color="000000" w:sz="4" w:space="0"/>
              <w:left w:val="single" w:color="000000" w:sz="4" w:space="0"/>
              <w:bottom w:val="single" w:color="000000" w:sz="4" w:space="0"/>
              <w:right w:val="single" w:color="000000" w:sz="4" w:space="0"/>
            </w:tcBorders>
            <w:vAlign w:val="center"/>
          </w:tcPr>
          <w:p w14:paraId="1113B0BB">
            <w:pPr>
              <w:pStyle w:val="184"/>
              <w:rPr>
                <w:szCs w:val="18"/>
              </w:rPr>
            </w:pPr>
            <w:r>
              <w:rPr>
                <w:szCs w:val="18"/>
              </w:rPr>
              <w:t>从外部环境污染</w:t>
            </w:r>
            <w:r>
              <w:rPr>
                <w:rFonts w:hint="eastAsia"/>
                <w:szCs w:val="18"/>
              </w:rPr>
              <w:br w:type="textWrapping"/>
            </w:r>
            <w:r>
              <w:rPr>
                <w:szCs w:val="18"/>
              </w:rPr>
              <w:t>等级3到：</w:t>
            </w:r>
          </w:p>
        </w:tc>
        <w:tc>
          <w:tcPr>
            <w:tcW w:w="1186" w:type="pct"/>
            <w:tcBorders>
              <w:top w:val="single" w:color="000000" w:sz="4" w:space="0"/>
              <w:left w:val="single" w:color="000000" w:sz="4" w:space="0"/>
              <w:bottom w:val="single" w:color="000000" w:sz="4" w:space="0"/>
              <w:right w:val="single" w:color="000000" w:sz="4" w:space="0"/>
            </w:tcBorders>
            <w:vAlign w:val="center"/>
          </w:tcPr>
          <w:p w14:paraId="3B6FA3F1">
            <w:pPr>
              <w:pStyle w:val="184"/>
              <w:rPr>
                <w:szCs w:val="18"/>
              </w:rPr>
            </w:pPr>
            <w:r>
              <w:rPr>
                <w:szCs w:val="18"/>
              </w:rPr>
              <w:t>变更污染等级的区域</w:t>
            </w:r>
          </w:p>
        </w:tc>
      </w:tr>
      <w:tr w14:paraId="3848821E">
        <w:tblPrEx>
          <w:tblCellMar>
            <w:top w:w="0" w:type="dxa"/>
            <w:left w:w="108" w:type="dxa"/>
            <w:bottom w:w="0" w:type="dxa"/>
            <w:right w:w="108" w:type="dxa"/>
          </w:tblCellMar>
        </w:tblPrEx>
        <w:trPr>
          <w:trHeight w:val="23" w:hRule="atLeast"/>
          <w:jc w:val="center"/>
        </w:trPr>
        <w:tc>
          <w:tcPr>
            <w:tcW w:w="1466" w:type="pct"/>
            <w:tcBorders>
              <w:top w:val="single" w:color="000000" w:sz="4" w:space="0"/>
              <w:left w:val="single" w:color="000000" w:sz="4" w:space="0"/>
              <w:bottom w:val="single" w:color="000000" w:sz="4" w:space="0"/>
              <w:right w:val="single" w:color="000000" w:sz="4" w:space="0"/>
            </w:tcBorders>
            <w:vAlign w:val="center"/>
          </w:tcPr>
          <w:p w14:paraId="70D5E34B">
            <w:pPr>
              <w:pStyle w:val="184"/>
              <w:ind w:firstLine="180" w:firstLineChars="100"/>
              <w:jc w:val="left"/>
              <w:rPr>
                <w:szCs w:val="18"/>
              </w:rPr>
            </w:pPr>
            <w:r>
              <w:rPr>
                <w:szCs w:val="18"/>
              </w:rPr>
              <w:t>外壳符合IP5X等级要求的防护</w:t>
            </w:r>
          </w:p>
        </w:tc>
        <w:tc>
          <w:tcPr>
            <w:tcW w:w="1178" w:type="pct"/>
            <w:tcBorders>
              <w:top w:val="single" w:color="000000" w:sz="4" w:space="0"/>
              <w:left w:val="single" w:color="000000" w:sz="4" w:space="0"/>
              <w:bottom w:val="single" w:color="000000" w:sz="4" w:space="0"/>
              <w:right w:val="single" w:color="000000" w:sz="4" w:space="0"/>
            </w:tcBorders>
            <w:vAlign w:val="center"/>
          </w:tcPr>
          <w:p w14:paraId="587DB3D9">
            <w:pPr>
              <w:pStyle w:val="184"/>
              <w:ind w:firstLine="180" w:firstLineChars="100"/>
              <w:jc w:val="left"/>
              <w:rPr>
                <w:szCs w:val="18"/>
              </w:rPr>
            </w:pPr>
            <w:r>
              <w:rPr>
                <w:szCs w:val="18"/>
              </w:rPr>
              <w:t>污染等级1</w:t>
            </w:r>
          </w:p>
        </w:tc>
        <w:tc>
          <w:tcPr>
            <w:tcW w:w="1170" w:type="pct"/>
            <w:tcBorders>
              <w:top w:val="single" w:color="000000" w:sz="4" w:space="0"/>
              <w:left w:val="single" w:color="000000" w:sz="4" w:space="0"/>
              <w:bottom w:val="single" w:color="000000" w:sz="4" w:space="0"/>
              <w:right w:val="single" w:color="000000" w:sz="4" w:space="0"/>
            </w:tcBorders>
            <w:vAlign w:val="center"/>
          </w:tcPr>
          <w:p w14:paraId="6969728E">
            <w:pPr>
              <w:pStyle w:val="184"/>
              <w:ind w:firstLine="180" w:firstLineChars="100"/>
              <w:jc w:val="left"/>
              <w:rPr>
                <w:szCs w:val="18"/>
              </w:rPr>
            </w:pPr>
            <w:r>
              <w:rPr>
                <w:szCs w:val="18"/>
              </w:rPr>
              <w:t>污染等级2</w:t>
            </w:r>
          </w:p>
        </w:tc>
        <w:tc>
          <w:tcPr>
            <w:tcW w:w="1186" w:type="pct"/>
            <w:tcBorders>
              <w:top w:val="single" w:color="000000" w:sz="4" w:space="0"/>
              <w:left w:val="single" w:color="000000" w:sz="4" w:space="0"/>
              <w:bottom w:val="single" w:color="000000" w:sz="4" w:space="0"/>
              <w:right w:val="single" w:color="000000" w:sz="4" w:space="0"/>
            </w:tcBorders>
            <w:vAlign w:val="center"/>
          </w:tcPr>
          <w:p w14:paraId="0D5CB2EA">
            <w:pPr>
              <w:pStyle w:val="184"/>
              <w:ind w:firstLine="180" w:firstLineChars="100"/>
              <w:jc w:val="left"/>
              <w:rPr>
                <w:szCs w:val="18"/>
              </w:rPr>
            </w:pPr>
            <w:r>
              <w:rPr>
                <w:szCs w:val="18"/>
              </w:rPr>
              <w:t>壳内所有区域，或者符合IP5X的部分</w:t>
            </w:r>
          </w:p>
        </w:tc>
      </w:tr>
      <w:tr w14:paraId="567DC74A">
        <w:tblPrEx>
          <w:tblCellMar>
            <w:top w:w="0" w:type="dxa"/>
            <w:left w:w="108" w:type="dxa"/>
            <w:bottom w:w="0" w:type="dxa"/>
            <w:right w:w="108" w:type="dxa"/>
          </w:tblCellMar>
        </w:tblPrEx>
        <w:trPr>
          <w:trHeight w:val="23" w:hRule="atLeast"/>
          <w:jc w:val="center"/>
        </w:trPr>
        <w:tc>
          <w:tcPr>
            <w:tcW w:w="1466" w:type="pct"/>
            <w:tcBorders>
              <w:top w:val="single" w:color="000000" w:sz="4" w:space="0"/>
              <w:left w:val="single" w:color="000000" w:sz="4" w:space="0"/>
              <w:bottom w:val="single" w:color="000000" w:sz="4" w:space="0"/>
              <w:right w:val="single" w:color="000000" w:sz="4" w:space="0"/>
            </w:tcBorders>
            <w:vAlign w:val="center"/>
          </w:tcPr>
          <w:p w14:paraId="50B47AD6">
            <w:pPr>
              <w:pStyle w:val="184"/>
              <w:ind w:firstLine="180" w:firstLineChars="100"/>
              <w:jc w:val="left"/>
              <w:rPr>
                <w:szCs w:val="18"/>
              </w:rPr>
            </w:pPr>
            <w:r>
              <w:rPr>
                <w:szCs w:val="18"/>
              </w:rPr>
              <w:t>外壳符合IPX7或IPX8等级要求的防护</w:t>
            </w:r>
          </w:p>
        </w:tc>
        <w:tc>
          <w:tcPr>
            <w:tcW w:w="1178" w:type="pct"/>
            <w:tcBorders>
              <w:top w:val="single" w:color="000000" w:sz="4" w:space="0"/>
              <w:left w:val="single" w:color="000000" w:sz="4" w:space="0"/>
              <w:bottom w:val="single" w:color="000000" w:sz="4" w:space="0"/>
              <w:right w:val="single" w:color="000000" w:sz="4" w:space="0"/>
            </w:tcBorders>
            <w:vAlign w:val="center"/>
          </w:tcPr>
          <w:p w14:paraId="36D93796">
            <w:pPr>
              <w:pStyle w:val="184"/>
              <w:ind w:firstLine="180" w:firstLineChars="100"/>
              <w:jc w:val="left"/>
              <w:rPr>
                <w:szCs w:val="18"/>
              </w:rPr>
            </w:pPr>
            <w:r>
              <w:rPr>
                <w:szCs w:val="18"/>
              </w:rPr>
              <w:t>污染等级2</w:t>
            </w:r>
          </w:p>
        </w:tc>
        <w:tc>
          <w:tcPr>
            <w:tcW w:w="1170" w:type="pct"/>
            <w:tcBorders>
              <w:top w:val="single" w:color="000000" w:sz="4" w:space="0"/>
              <w:left w:val="single" w:color="000000" w:sz="4" w:space="0"/>
              <w:bottom w:val="single" w:color="000000" w:sz="4" w:space="0"/>
              <w:right w:val="single" w:color="000000" w:sz="4" w:space="0"/>
            </w:tcBorders>
            <w:vAlign w:val="center"/>
          </w:tcPr>
          <w:p w14:paraId="46365926">
            <w:pPr>
              <w:pStyle w:val="184"/>
              <w:ind w:firstLine="180" w:firstLineChars="100"/>
              <w:jc w:val="left"/>
              <w:rPr>
                <w:szCs w:val="18"/>
              </w:rPr>
            </w:pPr>
            <w:r>
              <w:rPr>
                <w:szCs w:val="18"/>
              </w:rPr>
              <w:t>污染等级2</w:t>
            </w:r>
          </w:p>
        </w:tc>
        <w:tc>
          <w:tcPr>
            <w:tcW w:w="1186" w:type="pct"/>
            <w:tcBorders>
              <w:top w:val="single" w:color="000000" w:sz="4" w:space="0"/>
              <w:left w:val="single" w:color="000000" w:sz="4" w:space="0"/>
              <w:bottom w:val="single" w:color="000000" w:sz="4" w:space="0"/>
              <w:right w:val="single" w:color="000000" w:sz="4" w:space="0"/>
            </w:tcBorders>
            <w:vAlign w:val="center"/>
          </w:tcPr>
          <w:p w14:paraId="2E06D09C">
            <w:pPr>
              <w:pStyle w:val="184"/>
              <w:ind w:firstLine="180" w:firstLineChars="100"/>
              <w:jc w:val="left"/>
              <w:rPr>
                <w:szCs w:val="18"/>
              </w:rPr>
            </w:pPr>
            <w:r>
              <w:rPr>
                <w:szCs w:val="18"/>
              </w:rPr>
              <w:t>壳内所有区域，或者符合IPX7或IPX8的部分</w:t>
            </w:r>
          </w:p>
        </w:tc>
      </w:tr>
      <w:tr w14:paraId="0F65674F">
        <w:tblPrEx>
          <w:tblCellMar>
            <w:top w:w="0" w:type="dxa"/>
            <w:left w:w="108" w:type="dxa"/>
            <w:bottom w:w="0" w:type="dxa"/>
            <w:right w:w="108" w:type="dxa"/>
          </w:tblCellMar>
        </w:tblPrEx>
        <w:trPr>
          <w:trHeight w:val="23" w:hRule="atLeast"/>
          <w:jc w:val="center"/>
        </w:trPr>
        <w:tc>
          <w:tcPr>
            <w:tcW w:w="1466" w:type="pct"/>
            <w:tcBorders>
              <w:top w:val="single" w:color="000000" w:sz="4" w:space="0"/>
              <w:left w:val="single" w:color="000000" w:sz="4" w:space="0"/>
              <w:bottom w:val="single" w:color="000000" w:sz="4" w:space="0"/>
              <w:right w:val="single" w:color="000000" w:sz="4" w:space="0"/>
            </w:tcBorders>
            <w:vAlign w:val="center"/>
          </w:tcPr>
          <w:p w14:paraId="32533AD3">
            <w:pPr>
              <w:pStyle w:val="184"/>
              <w:ind w:firstLine="180" w:firstLineChars="100"/>
              <w:jc w:val="left"/>
              <w:rPr>
                <w:szCs w:val="18"/>
              </w:rPr>
            </w:pPr>
            <w:r>
              <w:rPr>
                <w:b w:val="0"/>
                <w:bCs w:val="0"/>
                <w:color w:val="auto"/>
                <w:szCs w:val="18"/>
                <w:highlight w:val="none"/>
              </w:rPr>
              <w:t>涂覆三防漆（防潮、防霉、防盐雾）或灌封有机硅 / 环氧树脂</w:t>
            </w:r>
          </w:p>
        </w:tc>
        <w:tc>
          <w:tcPr>
            <w:tcW w:w="1178" w:type="pct"/>
            <w:tcBorders>
              <w:top w:val="single" w:color="000000" w:sz="4" w:space="0"/>
              <w:left w:val="single" w:color="000000" w:sz="4" w:space="0"/>
              <w:bottom w:val="single" w:color="000000" w:sz="4" w:space="0"/>
              <w:right w:val="single" w:color="000000" w:sz="4" w:space="0"/>
            </w:tcBorders>
            <w:vAlign w:val="center"/>
          </w:tcPr>
          <w:p w14:paraId="3E047B6E">
            <w:pPr>
              <w:pStyle w:val="184"/>
              <w:ind w:firstLine="180" w:firstLineChars="100"/>
              <w:jc w:val="left"/>
              <w:rPr>
                <w:szCs w:val="18"/>
              </w:rPr>
            </w:pPr>
            <w:r>
              <w:rPr>
                <w:szCs w:val="18"/>
              </w:rPr>
              <w:t>污染等级1</w:t>
            </w:r>
          </w:p>
        </w:tc>
        <w:tc>
          <w:tcPr>
            <w:tcW w:w="1170" w:type="pct"/>
            <w:tcBorders>
              <w:top w:val="single" w:color="000000" w:sz="4" w:space="0"/>
              <w:left w:val="single" w:color="000000" w:sz="4" w:space="0"/>
              <w:bottom w:val="single" w:color="000000" w:sz="4" w:space="0"/>
              <w:right w:val="single" w:color="000000" w:sz="4" w:space="0"/>
            </w:tcBorders>
            <w:vAlign w:val="center"/>
          </w:tcPr>
          <w:p w14:paraId="4D000F70">
            <w:pPr>
              <w:pStyle w:val="184"/>
              <w:ind w:firstLine="180" w:firstLineChars="100"/>
              <w:jc w:val="left"/>
              <w:rPr>
                <w:szCs w:val="18"/>
              </w:rPr>
            </w:pPr>
            <w:r>
              <w:rPr>
                <w:szCs w:val="18"/>
              </w:rPr>
              <w:t>污染等级1</w:t>
            </w:r>
          </w:p>
        </w:tc>
        <w:tc>
          <w:tcPr>
            <w:tcW w:w="1186" w:type="pct"/>
            <w:tcBorders>
              <w:top w:val="single" w:color="000000" w:sz="4" w:space="0"/>
              <w:left w:val="single" w:color="000000" w:sz="4" w:space="0"/>
              <w:bottom w:val="single" w:color="000000" w:sz="4" w:space="0"/>
              <w:right w:val="single" w:color="000000" w:sz="4" w:space="0"/>
            </w:tcBorders>
            <w:vAlign w:val="center"/>
          </w:tcPr>
          <w:p w14:paraId="165D2BC8">
            <w:pPr>
              <w:pStyle w:val="184"/>
              <w:ind w:firstLine="180" w:firstLineChars="100"/>
              <w:jc w:val="left"/>
              <w:rPr>
                <w:szCs w:val="18"/>
              </w:rPr>
            </w:pPr>
            <w:r>
              <w:rPr>
                <w:szCs w:val="18"/>
              </w:rPr>
              <w:t>涂覆或罐封的区域</w:t>
            </w:r>
          </w:p>
        </w:tc>
      </w:tr>
      <w:tr w14:paraId="0A9DC04E">
        <w:tblPrEx>
          <w:tblCellMar>
            <w:top w:w="0" w:type="dxa"/>
            <w:left w:w="108" w:type="dxa"/>
            <w:bottom w:w="0" w:type="dxa"/>
            <w:right w:w="108" w:type="dxa"/>
          </w:tblCellMar>
        </w:tblPrEx>
        <w:trPr>
          <w:trHeight w:val="23" w:hRule="atLeast"/>
          <w:jc w:val="center"/>
        </w:trPr>
        <w:tc>
          <w:tcPr>
            <w:tcW w:w="1466" w:type="pct"/>
            <w:tcBorders>
              <w:top w:val="single" w:color="000000" w:sz="4" w:space="0"/>
              <w:left w:val="single" w:color="000000" w:sz="4" w:space="0"/>
              <w:bottom w:val="single" w:color="000000" w:sz="4" w:space="0"/>
              <w:right w:val="single" w:color="000000" w:sz="4" w:space="0"/>
            </w:tcBorders>
            <w:vAlign w:val="center"/>
          </w:tcPr>
          <w:p w14:paraId="4038F866">
            <w:pPr>
              <w:pStyle w:val="184"/>
              <w:ind w:firstLine="180" w:firstLineChars="100"/>
              <w:jc w:val="left"/>
              <w:rPr>
                <w:szCs w:val="18"/>
              </w:rPr>
            </w:pPr>
            <w:r>
              <w:rPr>
                <w:szCs w:val="18"/>
              </w:rPr>
              <w:t>采用密封外壳，且密封已将内部污染物清除干净</w:t>
            </w:r>
          </w:p>
        </w:tc>
        <w:tc>
          <w:tcPr>
            <w:tcW w:w="1178" w:type="pct"/>
            <w:tcBorders>
              <w:top w:val="single" w:color="000000" w:sz="4" w:space="0"/>
              <w:left w:val="single" w:color="000000" w:sz="4" w:space="0"/>
              <w:bottom w:val="single" w:color="000000" w:sz="4" w:space="0"/>
              <w:right w:val="single" w:color="000000" w:sz="4" w:space="0"/>
            </w:tcBorders>
            <w:vAlign w:val="center"/>
          </w:tcPr>
          <w:p w14:paraId="649E2B75">
            <w:pPr>
              <w:pStyle w:val="184"/>
              <w:ind w:firstLine="180" w:firstLineChars="100"/>
              <w:jc w:val="left"/>
              <w:rPr>
                <w:szCs w:val="18"/>
              </w:rPr>
            </w:pPr>
            <w:r>
              <w:rPr>
                <w:szCs w:val="18"/>
              </w:rPr>
              <w:t>污染等级1</w:t>
            </w:r>
          </w:p>
        </w:tc>
        <w:tc>
          <w:tcPr>
            <w:tcW w:w="1170" w:type="pct"/>
            <w:tcBorders>
              <w:top w:val="single" w:color="000000" w:sz="4" w:space="0"/>
              <w:left w:val="single" w:color="000000" w:sz="4" w:space="0"/>
              <w:bottom w:val="single" w:color="000000" w:sz="4" w:space="0"/>
              <w:right w:val="single" w:color="000000" w:sz="4" w:space="0"/>
            </w:tcBorders>
            <w:vAlign w:val="center"/>
          </w:tcPr>
          <w:p w14:paraId="22F60F82">
            <w:pPr>
              <w:pStyle w:val="184"/>
              <w:ind w:firstLine="180" w:firstLineChars="100"/>
              <w:jc w:val="left"/>
              <w:rPr>
                <w:szCs w:val="18"/>
              </w:rPr>
            </w:pPr>
            <w:r>
              <w:rPr>
                <w:szCs w:val="18"/>
              </w:rPr>
              <w:t>污染等级1</w:t>
            </w:r>
          </w:p>
        </w:tc>
        <w:tc>
          <w:tcPr>
            <w:tcW w:w="1186" w:type="pct"/>
            <w:tcBorders>
              <w:top w:val="single" w:color="000000" w:sz="4" w:space="0"/>
              <w:left w:val="single" w:color="000000" w:sz="4" w:space="0"/>
              <w:bottom w:val="single" w:color="000000" w:sz="4" w:space="0"/>
              <w:right w:val="single" w:color="000000" w:sz="4" w:space="0"/>
            </w:tcBorders>
            <w:vAlign w:val="center"/>
          </w:tcPr>
          <w:p w14:paraId="54BDA632">
            <w:pPr>
              <w:pStyle w:val="184"/>
              <w:ind w:firstLine="180" w:firstLineChars="100"/>
              <w:jc w:val="left"/>
              <w:rPr>
                <w:szCs w:val="18"/>
              </w:rPr>
            </w:pPr>
            <w:r>
              <w:rPr>
                <w:szCs w:val="18"/>
              </w:rPr>
              <w:t>密封壳内所有区域</w:t>
            </w:r>
          </w:p>
        </w:tc>
      </w:tr>
    </w:tbl>
    <w:p w14:paraId="60E738A4">
      <w:pPr>
        <w:pStyle w:val="111"/>
        <w:spacing w:before="120" w:after="120"/>
      </w:pPr>
      <w:bookmarkStart w:id="85" w:name="_Toc3899"/>
      <w:bookmarkStart w:id="86" w:name="_Toc214620377"/>
      <w:bookmarkStart w:id="87" w:name="_Toc16304"/>
      <w:r>
        <w:rPr>
          <w:rFonts w:hint="eastAsia"/>
        </w:rPr>
        <w:t>防护等级</w:t>
      </w:r>
      <w:bookmarkEnd w:id="85"/>
      <w:bookmarkEnd w:id="86"/>
      <w:bookmarkEnd w:id="87"/>
    </w:p>
    <w:p w14:paraId="2174D049">
      <w:pPr>
        <w:pStyle w:val="64"/>
      </w:pPr>
      <w:r>
        <w:rPr>
          <w:rFonts w:hint="eastAsia"/>
        </w:rPr>
        <w:t>固态变压器防护等级应不低于如下要求：</w:t>
      </w:r>
    </w:p>
    <w:p w14:paraId="196738CB">
      <w:pPr>
        <w:pStyle w:val="180"/>
        <w:numPr>
          <w:ilvl w:val="0"/>
          <w:numId w:val="40"/>
        </w:numPr>
        <w:rPr>
          <w:b w:val="0"/>
          <w:bCs w:val="0"/>
          <w:color w:val="auto"/>
          <w:highlight w:val="none"/>
        </w:rPr>
      </w:pPr>
      <w:r>
        <w:rPr>
          <w:rFonts w:hint="eastAsia"/>
          <w:b w:val="0"/>
          <w:bCs w:val="0"/>
          <w:color w:val="auto"/>
          <w:highlight w:val="none"/>
        </w:rPr>
        <w:t>户内型固态变压器：IP20</w:t>
      </w:r>
      <w:r>
        <w:rPr>
          <w:rFonts w:hint="eastAsia"/>
          <w:b w:val="0"/>
          <w:bCs w:val="0"/>
          <w:color w:val="auto"/>
          <w:highlight w:val="none"/>
          <w:lang w:eastAsia="zh-CN"/>
        </w:rPr>
        <w:t>。</w:t>
      </w:r>
      <w:r>
        <w:rPr>
          <w:rFonts w:hint="eastAsia"/>
          <w:b w:val="0"/>
          <w:bCs w:val="0"/>
          <w:color w:val="auto"/>
          <w:highlight w:val="none"/>
        </w:rPr>
        <w:t>户内多粉尘环境</w:t>
      </w:r>
      <w:r>
        <w:rPr>
          <w:rFonts w:hint="eastAsia"/>
          <w:b w:val="0"/>
          <w:bCs w:val="0"/>
          <w:color w:val="auto"/>
          <w:highlight w:val="none"/>
          <w:lang w:val="en-US" w:eastAsia="zh-CN"/>
        </w:rPr>
        <w:t>宜</w:t>
      </w:r>
      <w:r>
        <w:rPr>
          <w:rFonts w:hint="eastAsia"/>
          <w:b w:val="0"/>
          <w:bCs w:val="0"/>
          <w:color w:val="auto"/>
          <w:highlight w:val="none"/>
        </w:rPr>
        <w:t>提升至IP30</w:t>
      </w:r>
      <w:r>
        <w:rPr>
          <w:rFonts w:hint="eastAsia"/>
          <w:b w:val="0"/>
          <w:bCs w:val="0"/>
          <w:color w:val="auto"/>
          <w:highlight w:val="none"/>
          <w:lang w:eastAsia="zh-CN"/>
        </w:rPr>
        <w:t>。</w:t>
      </w:r>
    </w:p>
    <w:p w14:paraId="27FA8709">
      <w:pPr>
        <w:pStyle w:val="180"/>
        <w:numPr>
          <w:ilvl w:val="0"/>
          <w:numId w:val="40"/>
        </w:numPr>
        <w:rPr>
          <w:rFonts w:hint="eastAsia"/>
          <w:b w:val="0"/>
          <w:bCs w:val="0"/>
          <w:color w:val="auto"/>
          <w:highlight w:val="none"/>
        </w:rPr>
      </w:pPr>
      <w:r>
        <w:rPr>
          <w:rFonts w:hint="eastAsia"/>
          <w:b w:val="0"/>
          <w:bCs w:val="0"/>
          <w:color w:val="auto"/>
          <w:highlight w:val="none"/>
        </w:rPr>
        <w:t>户外型固态变压器：IP54。沿海、高沙尘环境应提升至IP55及以上，需防浸水的特殊场景</w:t>
      </w:r>
      <w:r>
        <w:rPr>
          <w:rFonts w:hint="eastAsia"/>
          <w:b w:val="0"/>
          <w:bCs w:val="0"/>
          <w:color w:val="auto"/>
          <w:highlight w:val="none"/>
          <w:lang w:val="en-US" w:eastAsia="zh-CN"/>
        </w:rPr>
        <w:t>宜</w:t>
      </w:r>
      <w:r>
        <w:rPr>
          <w:rFonts w:hint="eastAsia"/>
          <w:b w:val="0"/>
          <w:bCs w:val="0"/>
          <w:color w:val="auto"/>
          <w:highlight w:val="none"/>
        </w:rPr>
        <w:t>采用 IP65/IP67。</w:t>
      </w:r>
    </w:p>
    <w:p w14:paraId="511B1C17">
      <w:pPr>
        <w:pStyle w:val="111"/>
        <w:spacing w:before="120" w:after="120"/>
      </w:pPr>
      <w:bookmarkStart w:id="88" w:name="_Toc16342"/>
      <w:bookmarkStart w:id="89" w:name="_Toc214620378"/>
      <w:bookmarkStart w:id="90" w:name="_Toc3147"/>
      <w:r>
        <w:rPr>
          <w:rFonts w:hint="eastAsia"/>
        </w:rPr>
        <w:t>湿度</w:t>
      </w:r>
      <w:bookmarkEnd w:id="88"/>
      <w:bookmarkEnd w:id="89"/>
      <w:bookmarkEnd w:id="90"/>
    </w:p>
    <w:p w14:paraId="1811848F">
      <w:pPr>
        <w:pStyle w:val="64"/>
        <w:rPr>
          <w:rFonts w:hint="eastAsia"/>
          <w:b w:val="0"/>
          <w:bCs w:val="0"/>
          <w:color w:val="auto"/>
          <w:highlight w:val="none"/>
        </w:rPr>
      </w:pPr>
      <w:r>
        <w:rPr>
          <w:rFonts w:hint="eastAsia"/>
          <w:b w:val="0"/>
          <w:bCs w:val="0"/>
          <w:color w:val="auto"/>
          <w:highlight w:val="none"/>
        </w:rPr>
        <w:t>固态变压器</w:t>
      </w:r>
      <w:r>
        <w:rPr>
          <w:rFonts w:hint="eastAsia"/>
          <w:b w:val="0"/>
          <w:bCs w:val="0"/>
          <w:strike w:val="0"/>
          <w:dstrike w:val="0"/>
          <w:color w:val="auto"/>
          <w:highlight w:val="none"/>
        </w:rPr>
        <w:t>在</w:t>
      </w:r>
      <w:r>
        <w:rPr>
          <w:rFonts w:hint="eastAsia"/>
          <w:b w:val="0"/>
          <w:bCs w:val="0"/>
          <w:color w:val="auto"/>
          <w:highlight w:val="none"/>
        </w:rPr>
        <w:t>空气相对湿度不超过95%的环境中应能正常运行。在温度骤变产生凝露的环境中，设备应具备凝露监测及加热除凝露功能。</w:t>
      </w:r>
    </w:p>
    <w:p w14:paraId="7317327F">
      <w:pPr>
        <w:pStyle w:val="111"/>
        <w:spacing w:before="120" w:after="120"/>
      </w:pPr>
      <w:bookmarkStart w:id="91" w:name="_Toc214620379"/>
      <w:bookmarkStart w:id="92" w:name="_Toc11302"/>
      <w:bookmarkStart w:id="93" w:name="_Toc16638"/>
      <w:r>
        <w:rPr>
          <w:rFonts w:hint="eastAsia"/>
        </w:rPr>
        <w:t>温度</w:t>
      </w:r>
      <w:bookmarkEnd w:id="91"/>
      <w:bookmarkEnd w:id="92"/>
      <w:bookmarkEnd w:id="93"/>
    </w:p>
    <w:p w14:paraId="5BF91617">
      <w:pPr>
        <w:pStyle w:val="64"/>
        <w:rPr>
          <w:rFonts w:hint="eastAsia" w:eastAsia="宋体"/>
          <w:b w:val="0"/>
          <w:bCs w:val="0"/>
          <w:color w:val="auto"/>
          <w:highlight w:val="none"/>
          <w:lang w:val="en-US" w:eastAsia="zh-CN"/>
        </w:rPr>
      </w:pPr>
      <w:r>
        <w:rPr>
          <w:rFonts w:hint="eastAsia"/>
        </w:rPr>
        <w:t>固态变压器</w:t>
      </w:r>
      <w:r>
        <w:rPr>
          <w:rFonts w:hint="eastAsia"/>
          <w:b w:val="0"/>
          <w:bCs w:val="0"/>
          <w:color w:val="auto"/>
          <w:highlight w:val="none"/>
        </w:rPr>
        <w:t>在</w:t>
      </w:r>
      <w:r>
        <w:rPr>
          <w:rFonts w:hint="eastAsia"/>
          <w:b w:val="0"/>
          <w:bCs w:val="0"/>
          <w:color w:val="auto"/>
          <w:highlight w:val="none"/>
          <w:lang w:val="en-US" w:eastAsia="zh-CN"/>
        </w:rPr>
        <w:t>以下</w:t>
      </w:r>
      <w:r>
        <w:rPr>
          <w:rFonts w:hint="eastAsia"/>
          <w:b w:val="0"/>
          <w:bCs w:val="0"/>
          <w:color w:val="auto"/>
          <w:highlight w:val="none"/>
        </w:rPr>
        <w:t>贮存温度范围内应能正常运行。</w:t>
      </w:r>
      <w:r>
        <w:rPr>
          <w:rFonts w:hint="eastAsia"/>
          <w:b w:val="0"/>
          <w:bCs w:val="0"/>
          <w:color w:val="auto"/>
          <w:highlight w:val="none"/>
          <w:lang w:val="en-US" w:eastAsia="zh-CN"/>
        </w:rPr>
        <w:t>其中：</w:t>
      </w:r>
    </w:p>
    <w:p w14:paraId="32F06B89">
      <w:pPr>
        <w:pStyle w:val="180"/>
        <w:numPr>
          <w:ilvl w:val="0"/>
          <w:numId w:val="41"/>
        </w:numPr>
        <w:rPr>
          <w:rFonts w:hint="eastAsia"/>
          <w:b w:val="0"/>
          <w:bCs w:val="0"/>
          <w:color w:val="auto"/>
          <w:highlight w:val="none"/>
          <w:lang w:val="en-US" w:eastAsia="zh-CN"/>
        </w:rPr>
      </w:pPr>
      <w:r>
        <w:rPr>
          <w:rFonts w:hint="eastAsia"/>
          <w:b w:val="0"/>
          <w:bCs w:val="0"/>
          <w:color w:val="auto"/>
          <w:highlight w:val="none"/>
          <w:lang w:val="en-US" w:eastAsia="zh-CN"/>
        </w:rPr>
        <w:t>户内型固态变压器：工作温度-10℃～﹢40℃，贮存温度 -20℃～﹢50℃；</w:t>
      </w:r>
    </w:p>
    <w:p w14:paraId="11F5D734">
      <w:pPr>
        <w:pStyle w:val="180"/>
        <w:numPr>
          <w:ilvl w:val="0"/>
          <w:numId w:val="41"/>
        </w:numPr>
        <w:rPr>
          <w:rFonts w:hint="eastAsia"/>
          <w:b w:val="0"/>
          <w:bCs w:val="0"/>
          <w:color w:val="auto"/>
          <w:highlight w:val="none"/>
          <w:lang w:val="en-US" w:eastAsia="zh-CN"/>
        </w:rPr>
      </w:pPr>
      <w:r>
        <w:rPr>
          <w:rFonts w:hint="eastAsia"/>
          <w:b w:val="0"/>
          <w:bCs w:val="0"/>
          <w:color w:val="auto"/>
          <w:highlight w:val="none"/>
          <w:lang w:val="en-US" w:eastAsia="zh-CN"/>
        </w:rPr>
        <w:t>户外型固态变压器：工作温度-40℃～﹢60℃，贮存温度-40℃～﹢70℃；</w:t>
      </w:r>
    </w:p>
    <w:p w14:paraId="3327D80D">
      <w:pPr>
        <w:pStyle w:val="185"/>
        <w:bidi w:val="0"/>
        <w:rPr>
          <w:rFonts w:hint="eastAsia"/>
          <w:b w:val="0"/>
          <w:bCs w:val="0"/>
          <w:color w:val="auto"/>
          <w:highlight w:val="none"/>
        </w:rPr>
      </w:pPr>
      <w:r>
        <w:rPr>
          <w:rFonts w:hint="eastAsia" w:ascii="宋体" w:hAnsi="Times New Roman" w:eastAsia="宋体" w:cs="Times New Roman"/>
          <w:b w:val="0"/>
          <w:bCs w:val="0"/>
          <w:color w:val="auto"/>
          <w:kern w:val="0"/>
          <w:sz w:val="18"/>
          <w:szCs w:val="18"/>
          <w:highlight w:val="none"/>
          <w:lang w:val="en-US" w:eastAsia="zh-CN" w:bidi="ar-SA"/>
        </w:rPr>
        <w:t>所有类型固态变压器在额定温度范围内运行时，各部件温升应满足GB/T 1094.11及 GB/T 37409 的相关要求。</w:t>
      </w:r>
    </w:p>
    <w:p w14:paraId="7DD1562E">
      <w:pPr>
        <w:pStyle w:val="110"/>
      </w:pPr>
      <w:bookmarkStart w:id="94" w:name="_Toc5501"/>
      <w:r>
        <w:rPr>
          <w:rFonts w:hint="eastAsia"/>
        </w:rPr>
        <w:t>性能要求</w:t>
      </w:r>
      <w:bookmarkEnd w:id="94"/>
    </w:p>
    <w:p w14:paraId="62E41D24">
      <w:pPr>
        <w:pStyle w:val="111"/>
        <w:spacing w:before="120" w:after="120"/>
      </w:pPr>
      <w:bookmarkStart w:id="95" w:name="_Toc207263985"/>
      <w:bookmarkStart w:id="96" w:name="_Toc207263640"/>
      <w:bookmarkStart w:id="97" w:name="_Toc207264059"/>
      <w:bookmarkStart w:id="98" w:name="_Toc209022134"/>
      <w:bookmarkStart w:id="99" w:name="_Toc214620381"/>
      <w:bookmarkStart w:id="100" w:name="_Toc5363"/>
      <w:bookmarkStart w:id="101" w:name="_Toc12531"/>
      <w:r>
        <w:rPr>
          <w:rFonts w:hint="eastAsia"/>
        </w:rPr>
        <w:t>电气</w:t>
      </w:r>
      <w:bookmarkEnd w:id="95"/>
      <w:bookmarkEnd w:id="96"/>
      <w:bookmarkEnd w:id="97"/>
      <w:bookmarkEnd w:id="98"/>
      <w:r>
        <w:rPr>
          <w:rFonts w:hint="eastAsia"/>
        </w:rPr>
        <w:t>参数</w:t>
      </w:r>
      <w:bookmarkEnd w:id="99"/>
      <w:bookmarkEnd w:id="100"/>
      <w:bookmarkEnd w:id="101"/>
    </w:p>
    <w:p w14:paraId="643EE6C9">
      <w:pPr>
        <w:pStyle w:val="73"/>
        <w:spacing w:before="120" w:after="120"/>
        <w:ind w:left="0" w:leftChars="0" w:firstLineChars="0"/>
      </w:pPr>
      <w:r>
        <w:rPr>
          <w:rFonts w:hint="eastAsia"/>
        </w:rPr>
        <w:t>额定电压</w:t>
      </w:r>
    </w:p>
    <w:p w14:paraId="5C289EC2">
      <w:pPr>
        <w:pStyle w:val="101"/>
      </w:pPr>
      <w:r>
        <w:rPr>
          <w:rFonts w:hint="eastAsia"/>
        </w:rPr>
        <w:t>输入额定电压（光伏侧）</w:t>
      </w:r>
      <w:r>
        <w:rPr>
          <w:rFonts w:ascii="Times New Roman"/>
        </w:rPr>
        <w:t>​</w:t>
      </w:r>
    </w:p>
    <w:p w14:paraId="3373088D">
      <w:pPr>
        <w:pStyle w:val="64"/>
        <w:rPr>
          <w:rFonts w:hint="eastAsia" w:eastAsia="宋体"/>
          <w:lang w:eastAsia="zh-CN"/>
        </w:rPr>
      </w:pPr>
      <w:r>
        <w:rPr>
          <w:rFonts w:hint="eastAsia"/>
        </w:rPr>
        <w:t>直流输入：1000V至2000V，并符合GB/T 19964的相关规定。</w:t>
      </w:r>
    </w:p>
    <w:p w14:paraId="3E83BB09">
      <w:pPr>
        <w:pStyle w:val="64"/>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固态变压器的直流输入电压等级应根据应用场景确定，并符合GB/T 19964的相关规定及对应电压等级的绝缘配合要求。</w:t>
      </w:r>
    </w:p>
    <w:p w14:paraId="54E11CDC">
      <w:pPr>
        <w:pStyle w:val="180"/>
        <w:numPr>
          <w:ilvl w:val="0"/>
          <w:numId w:val="42"/>
        </w:numPr>
        <w:rPr>
          <w:rFonts w:hint="default" w:ascii="宋体" w:hAnsi="宋体" w:eastAsia="宋体" w:cs="宋体"/>
          <w:b w:val="0"/>
          <w:bCs w:val="0"/>
          <w:color w:val="auto"/>
          <w:sz w:val="21"/>
          <w:szCs w:val="21"/>
          <w:highlight w:val="none"/>
          <w:lang w:val="en-US" w:eastAsia="zh-CN"/>
        </w:rPr>
      </w:pPr>
      <w:r>
        <w:rPr>
          <w:rFonts w:hint="default"/>
          <w:b w:val="0"/>
          <w:bCs w:val="0"/>
          <w:color w:val="auto"/>
          <w:highlight w:val="none"/>
          <w:lang w:val="en-US" w:eastAsia="zh-CN"/>
        </w:rPr>
        <w:t>对于接入电压不超过1000V的低压分布式光伏系统，输入电压范围通常为200V～1000V；</w:t>
      </w:r>
    </w:p>
    <w:p w14:paraId="7160093F">
      <w:pPr>
        <w:pStyle w:val="180"/>
        <w:numPr>
          <w:ilvl w:val="0"/>
          <w:numId w:val="42"/>
        </w:numPr>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对于接入电压超过1000V的中高压集中式光伏系统，输入电压范围通常为1000V～5000V</w:t>
      </w:r>
      <w:r>
        <w:rPr>
          <w:rFonts w:hint="eastAsia" w:hAnsi="宋体" w:cs="宋体"/>
          <w:b w:val="0"/>
          <w:bCs w:val="0"/>
          <w:color w:val="auto"/>
          <w:sz w:val="21"/>
          <w:szCs w:val="21"/>
          <w:highlight w:val="none"/>
          <w:lang w:val="en-US" w:eastAsia="zh-CN"/>
        </w:rPr>
        <w:t>。</w:t>
      </w:r>
    </w:p>
    <w:p w14:paraId="7118CEBA">
      <w:pPr>
        <w:pStyle w:val="101"/>
      </w:pPr>
      <w:r>
        <w:rPr>
          <w:rFonts w:hint="eastAsia"/>
        </w:rPr>
        <w:t>输出额定电压（电网侧）</w:t>
      </w:r>
    </w:p>
    <w:p w14:paraId="5FBFAE94">
      <w:pPr>
        <w:pStyle w:val="173"/>
        <w:rPr>
          <w:highlight w:val="none"/>
        </w:rPr>
      </w:pPr>
      <w:r>
        <w:rPr>
          <w:rFonts w:hint="eastAsia"/>
        </w:rPr>
        <w:t>低压输出：</w:t>
      </w:r>
      <w:r>
        <w:rPr>
          <w:rFonts w:hint="eastAsia"/>
          <w:lang w:val="en-US" w:eastAsia="zh-CN"/>
        </w:rPr>
        <w:t>22</w:t>
      </w:r>
      <w:r>
        <w:t>0</w:t>
      </w:r>
      <w:r>
        <w:rPr>
          <w:rFonts w:ascii="Times New Roman" w:hAnsi="Times New Roman"/>
        </w:rPr>
        <w:t xml:space="preserve"> </w:t>
      </w:r>
      <w:r>
        <w:t>V AC</w:t>
      </w:r>
      <w:r>
        <w:rPr>
          <w:rFonts w:hint="eastAsia"/>
        </w:rPr>
        <w:t>（线电压，</w:t>
      </w:r>
      <w:r>
        <w:rPr>
          <w:rFonts w:hint="eastAsia"/>
          <w:highlight w:val="none"/>
        </w:rPr>
        <w:t>允许偏差</w:t>
      </w:r>
      <w:r>
        <w:rPr>
          <w:rFonts w:hint="eastAsia"/>
          <w:highlight w:val="none"/>
          <w:lang w:val="en-US" w:eastAsia="zh-CN"/>
        </w:rPr>
        <w:t>-10～+7</w:t>
      </w:r>
      <w:r>
        <w:rPr>
          <w:highlight w:val="none"/>
        </w:rPr>
        <w:t>%</w:t>
      </w:r>
      <w:r>
        <w:rPr>
          <w:rFonts w:hint="eastAsia"/>
          <w:highlight w:val="none"/>
        </w:rPr>
        <w:t>）</w:t>
      </w:r>
      <w:r>
        <w:rPr>
          <w:rFonts w:hint="eastAsia"/>
          <w:highlight w:val="none"/>
          <w:lang w:eastAsia="zh-CN"/>
        </w:rPr>
        <w:t>，</w:t>
      </w:r>
      <w:r>
        <w:rPr>
          <w:highlight w:val="none"/>
        </w:rPr>
        <w:t>380</w:t>
      </w:r>
      <w:r>
        <w:rPr>
          <w:rFonts w:ascii="Times New Roman" w:hAnsi="Times New Roman"/>
          <w:highlight w:val="none"/>
        </w:rPr>
        <w:t xml:space="preserve"> </w:t>
      </w:r>
      <w:r>
        <w:rPr>
          <w:highlight w:val="none"/>
        </w:rPr>
        <w:t>V AC</w:t>
      </w:r>
      <w:r>
        <w:rPr>
          <w:rFonts w:hint="eastAsia"/>
          <w:highlight w:val="none"/>
        </w:rPr>
        <w:t>（线电压，允许偏差</w:t>
      </w:r>
      <w:r>
        <w:rPr>
          <w:highlight w:val="none"/>
        </w:rPr>
        <w:t>±5%</w:t>
      </w:r>
      <w:r>
        <w:rPr>
          <w:rFonts w:hint="eastAsia"/>
          <w:highlight w:val="none"/>
        </w:rPr>
        <w:t>），适配配电网低压侧并网。</w:t>
      </w:r>
      <w:r>
        <w:rPr>
          <w:rFonts w:ascii="Times New Roman" w:hAnsi="Times New Roman"/>
          <w:highlight w:val="none"/>
        </w:rPr>
        <w:t>​</w:t>
      </w:r>
    </w:p>
    <w:p w14:paraId="57994B17">
      <w:pPr>
        <w:pStyle w:val="173"/>
      </w:pPr>
      <w:r>
        <w:rPr>
          <w:rFonts w:hint="eastAsia"/>
          <w:highlight w:val="none"/>
        </w:rPr>
        <w:t>中压输出：</w:t>
      </w:r>
      <w:r>
        <w:rPr>
          <w:highlight w:val="none"/>
        </w:rPr>
        <w:t>10</w:t>
      </w:r>
      <w:r>
        <w:rPr>
          <w:rFonts w:ascii="Times New Roman" w:hAnsi="Times New Roman"/>
          <w:highlight w:val="none"/>
        </w:rPr>
        <w:t xml:space="preserve"> </w:t>
      </w:r>
      <w:r>
        <w:rPr>
          <w:highlight w:val="none"/>
        </w:rPr>
        <w:t>kV AC</w:t>
      </w:r>
      <w:r>
        <w:rPr>
          <w:rFonts w:hint="eastAsia"/>
          <w:highlight w:val="none"/>
        </w:rPr>
        <w:t>（线电压，允许偏差</w:t>
      </w:r>
      <w:r>
        <w:rPr>
          <w:highlight w:val="none"/>
        </w:rPr>
        <w:t>±5%</w:t>
      </w:r>
      <w:r>
        <w:rPr>
          <w:rFonts w:hint="eastAsia"/>
          <w:highlight w:val="none"/>
        </w:rPr>
        <w:t>）、</w:t>
      </w:r>
      <w:r>
        <w:rPr>
          <w:highlight w:val="none"/>
        </w:rPr>
        <w:t>35</w:t>
      </w:r>
      <w:r>
        <w:rPr>
          <w:rFonts w:ascii="Times New Roman" w:hAnsi="Times New Roman"/>
          <w:highlight w:val="none"/>
        </w:rPr>
        <w:t xml:space="preserve"> </w:t>
      </w:r>
      <w:r>
        <w:rPr>
          <w:highlight w:val="none"/>
        </w:rPr>
        <w:t>kV AC</w:t>
      </w:r>
      <w:r>
        <w:rPr>
          <w:rFonts w:hint="eastAsia"/>
          <w:highlight w:val="none"/>
        </w:rPr>
        <w:t>（线电压，允许偏差</w:t>
      </w:r>
      <w:r>
        <w:rPr>
          <w:highlight w:val="none"/>
        </w:rPr>
        <w:t>±</w:t>
      </w:r>
      <w:r>
        <w:rPr>
          <w:rFonts w:hint="eastAsia"/>
          <w:highlight w:val="none"/>
          <w:lang w:val="en-US" w:eastAsia="zh-CN"/>
        </w:rPr>
        <w:t>10</w:t>
      </w:r>
      <w:r>
        <w:rPr>
          <w:highlight w:val="none"/>
        </w:rPr>
        <w:t>%</w:t>
      </w:r>
      <w:r>
        <w:rPr>
          <w:rFonts w:hint="eastAsia"/>
          <w:highlight w:val="none"/>
        </w:rPr>
        <w:t>）</w:t>
      </w:r>
      <w:r>
        <w:rPr>
          <w:rFonts w:hint="eastAsia"/>
        </w:rPr>
        <w:t>，适配中压配电网并网。</w:t>
      </w:r>
    </w:p>
    <w:p w14:paraId="2EE29DB4">
      <w:pPr>
        <w:pStyle w:val="173"/>
      </w:pPr>
      <w:r>
        <w:rPr>
          <w:rFonts w:hint="eastAsia"/>
        </w:rPr>
        <w:t>电压波形：正弦波，总谐波畸变率（</w:t>
      </w:r>
      <w:r>
        <w:t>THD</w:t>
      </w:r>
      <w:r>
        <w:rPr>
          <w:rFonts w:hint="eastAsia"/>
        </w:rPr>
        <w:t>）≤</w:t>
      </w:r>
      <w:r>
        <w:t>3%</w:t>
      </w:r>
      <w:r>
        <w:rPr>
          <w:rFonts w:hint="eastAsia"/>
        </w:rPr>
        <w:t>（额定负载下）。</w:t>
      </w:r>
      <w:r>
        <w:rPr>
          <w:rFonts w:ascii="Times New Roman" w:hAnsi="Times New Roman"/>
        </w:rPr>
        <w:t>​</w:t>
      </w:r>
    </w:p>
    <w:p w14:paraId="46C8CEE4">
      <w:pPr>
        <w:pStyle w:val="73"/>
        <w:spacing w:before="120" w:after="120"/>
        <w:ind w:left="0" w:leftChars="0" w:firstLineChars="0"/>
      </w:pPr>
      <w:r>
        <w:rPr>
          <w:rFonts w:hint="eastAsia"/>
        </w:rPr>
        <w:t>额定容量</w:t>
      </w:r>
      <w:r>
        <w:rPr>
          <w:rFonts w:ascii="Times New Roman"/>
        </w:rPr>
        <w:t>​</w:t>
      </w:r>
    </w:p>
    <w:p w14:paraId="20B5EC21">
      <w:pPr>
        <w:pStyle w:val="101"/>
      </w:pPr>
      <w:r>
        <w:rPr>
          <w:rFonts w:hint="eastAsia"/>
        </w:rPr>
        <w:t>额定容量等级</w:t>
      </w:r>
    </w:p>
    <w:p w14:paraId="7E3065A8">
      <w:pPr>
        <w:pStyle w:val="173"/>
      </w:pPr>
      <w:r>
        <w:rPr>
          <w:rFonts w:hint="eastAsia"/>
        </w:rPr>
        <w:t>分布式光伏用（低压并网）：</w:t>
      </w:r>
      <w:r>
        <w:t>10</w:t>
      </w:r>
      <w:r>
        <w:rPr>
          <w:rFonts w:ascii="Times New Roman" w:hAnsi="Times New Roman"/>
        </w:rPr>
        <w:t xml:space="preserve"> </w:t>
      </w:r>
      <w:r>
        <w:t>kVA</w:t>
      </w:r>
      <w:r>
        <w:rPr>
          <w:rFonts w:hint="eastAsia"/>
        </w:rPr>
        <w:t>、</w:t>
      </w:r>
      <w:r>
        <w:t>20</w:t>
      </w:r>
      <w:r>
        <w:rPr>
          <w:rFonts w:ascii="Times New Roman" w:hAnsi="Times New Roman"/>
        </w:rPr>
        <w:t xml:space="preserve"> </w:t>
      </w:r>
      <w:r>
        <w:t>kVA</w:t>
      </w:r>
      <w:r>
        <w:rPr>
          <w:rFonts w:hint="eastAsia"/>
        </w:rPr>
        <w:t>、</w:t>
      </w:r>
      <w:r>
        <w:t>30</w:t>
      </w:r>
      <w:r>
        <w:rPr>
          <w:rFonts w:ascii="Times New Roman" w:hAnsi="Times New Roman"/>
        </w:rPr>
        <w:t xml:space="preserve"> </w:t>
      </w:r>
      <w:r>
        <w:t>kVA</w:t>
      </w:r>
      <w:r>
        <w:rPr>
          <w:rFonts w:hint="eastAsia"/>
        </w:rPr>
        <w:t>、</w:t>
      </w:r>
      <w:r>
        <w:t>50</w:t>
      </w:r>
      <w:r>
        <w:rPr>
          <w:rFonts w:ascii="Times New Roman" w:hAnsi="Times New Roman"/>
        </w:rPr>
        <w:t xml:space="preserve"> </w:t>
      </w:r>
      <w:r>
        <w:t>kVA</w:t>
      </w:r>
      <w:r>
        <w:rPr>
          <w:rFonts w:hint="eastAsia"/>
        </w:rPr>
        <w:t>、</w:t>
      </w:r>
      <w:r>
        <w:t>100</w:t>
      </w:r>
      <w:r>
        <w:rPr>
          <w:rFonts w:ascii="Times New Roman" w:hAnsi="Times New Roman"/>
        </w:rPr>
        <w:t xml:space="preserve"> </w:t>
      </w:r>
      <w:r>
        <w:t>kVA</w:t>
      </w:r>
      <w:r>
        <w:rPr>
          <w:rFonts w:hint="eastAsia"/>
        </w:rPr>
        <w:t>，步进间隔符合行业常用规格。</w:t>
      </w:r>
    </w:p>
    <w:p w14:paraId="21B8DCAA">
      <w:pPr>
        <w:pStyle w:val="173"/>
      </w:pPr>
      <w:r>
        <w:rPr>
          <w:rFonts w:hint="eastAsia"/>
        </w:rPr>
        <w:t>分布式光伏用（</w:t>
      </w:r>
      <w:r>
        <w:rPr>
          <w:rFonts w:hint="eastAsia"/>
          <w:highlight w:val="none"/>
          <w:lang w:val="en-US" w:eastAsia="zh-CN"/>
        </w:rPr>
        <w:t>中</w:t>
      </w:r>
      <w:r>
        <w:rPr>
          <w:rFonts w:hint="eastAsia"/>
        </w:rPr>
        <w:t>压并网）：</w:t>
      </w:r>
      <w:r>
        <w:t>250</w:t>
      </w:r>
      <w:r>
        <w:rPr>
          <w:rFonts w:ascii="Times New Roman" w:hAnsi="Times New Roman"/>
        </w:rPr>
        <w:t xml:space="preserve"> </w:t>
      </w:r>
      <w:r>
        <w:t>kVA</w:t>
      </w:r>
      <w:r>
        <w:rPr>
          <w:rFonts w:hint="eastAsia"/>
        </w:rPr>
        <w:t>、</w:t>
      </w:r>
      <w:r>
        <w:t>500</w:t>
      </w:r>
      <w:r>
        <w:rPr>
          <w:rFonts w:ascii="Times New Roman" w:hAnsi="Times New Roman"/>
        </w:rPr>
        <w:t xml:space="preserve"> </w:t>
      </w:r>
      <w:r>
        <w:t>kVA</w:t>
      </w:r>
      <w:r>
        <w:rPr>
          <w:rFonts w:hint="eastAsia"/>
        </w:rPr>
        <w:t>、</w:t>
      </w:r>
      <w:r>
        <w:t>1000</w:t>
      </w:r>
      <w:r>
        <w:rPr>
          <w:rFonts w:ascii="Times New Roman" w:hAnsi="Times New Roman"/>
        </w:rPr>
        <w:t xml:space="preserve"> </w:t>
      </w:r>
      <w:r>
        <w:t>kVA</w:t>
      </w:r>
      <w:r>
        <w:rPr>
          <w:rFonts w:hint="eastAsia"/>
        </w:rPr>
        <w:t>、</w:t>
      </w:r>
      <w:r>
        <w:t>2000</w:t>
      </w:r>
      <w:r>
        <w:rPr>
          <w:rFonts w:ascii="Times New Roman" w:hAnsi="Times New Roman"/>
        </w:rPr>
        <w:t xml:space="preserve"> </w:t>
      </w:r>
      <w:r>
        <w:t>kVA</w:t>
      </w:r>
      <w:r>
        <w:rPr>
          <w:rFonts w:hint="eastAsia"/>
        </w:rPr>
        <w:t>、</w:t>
      </w:r>
      <w:r>
        <w:t>3150</w:t>
      </w:r>
      <w:r>
        <w:rPr>
          <w:rFonts w:ascii="Times New Roman" w:hAnsi="Times New Roman"/>
        </w:rPr>
        <w:t xml:space="preserve"> </w:t>
      </w:r>
      <w:r>
        <w:t>kVA、</w:t>
      </w:r>
      <w:r>
        <w:rPr>
          <w:rFonts w:hint="eastAsia"/>
        </w:rPr>
        <w:t>4000kVA、6000kVA，满足规模化电站容量需求。</w:t>
      </w:r>
    </w:p>
    <w:p w14:paraId="4BF61856">
      <w:pPr>
        <w:pStyle w:val="173"/>
      </w:pPr>
      <w:r>
        <w:rPr>
          <w:rFonts w:hint="eastAsia"/>
        </w:rPr>
        <w:t>额定容量标注：设备铭牌应明确标注视在功率（</w:t>
      </w:r>
      <w:r>
        <w:t>kVA</w:t>
      </w:r>
      <w:r>
        <w:rPr>
          <w:rFonts w:hint="eastAsia"/>
        </w:rPr>
        <w:t>），且额定容量对应的功率因数（</w:t>
      </w:r>
      <w:r>
        <w:t>cosφ</w:t>
      </w:r>
      <w:r>
        <w:rPr>
          <w:rFonts w:hint="eastAsia"/>
        </w:rPr>
        <w:t>）可在</w:t>
      </w:r>
      <w:r>
        <w:t>0.9</w:t>
      </w:r>
      <w:r>
        <w:rPr>
          <w:rFonts w:hint="eastAsia"/>
        </w:rPr>
        <w:t>超前～</w:t>
      </w:r>
      <w:r>
        <w:t>0.9</w:t>
      </w:r>
      <w:r>
        <w:rPr>
          <w:rFonts w:hint="eastAsia"/>
        </w:rPr>
        <w:t>滞后范围内调节。</w:t>
      </w:r>
      <w:r>
        <w:rPr>
          <w:rFonts w:ascii="Times New Roman" w:hAnsi="Times New Roman"/>
        </w:rPr>
        <w:t>​</w:t>
      </w:r>
    </w:p>
    <w:p w14:paraId="3B106605">
      <w:pPr>
        <w:pStyle w:val="101"/>
      </w:pPr>
      <w:r>
        <w:rPr>
          <w:rFonts w:hint="eastAsia"/>
        </w:rPr>
        <w:t>容量确定要求</w:t>
      </w:r>
      <w:r>
        <w:rPr>
          <w:rFonts w:ascii="Times New Roman"/>
        </w:rPr>
        <w:t>​</w:t>
      </w:r>
    </w:p>
    <w:p w14:paraId="7F26B24B">
      <w:pPr>
        <w:pStyle w:val="173"/>
      </w:pPr>
      <w:r>
        <w:rPr>
          <w:rFonts w:hint="eastAsia"/>
        </w:rPr>
        <w:t>额定容量应根据光伏组件最大输出功率、并网接入点容量限制及系统年发电量优化目标确定，需预留不低于</w:t>
      </w:r>
      <w:r>
        <w:t>10%</w:t>
      </w:r>
      <w:r>
        <w:rPr>
          <w:rFonts w:hint="eastAsia"/>
        </w:rPr>
        <w:t>的容量冗余，适配光伏出力波动。</w:t>
      </w:r>
      <w:r>
        <w:rPr>
          <w:rFonts w:ascii="Times New Roman" w:hAnsi="Times New Roman"/>
        </w:rPr>
        <w:t>​</w:t>
      </w:r>
    </w:p>
    <w:p w14:paraId="0A92D758">
      <w:pPr>
        <w:pStyle w:val="173"/>
      </w:pPr>
      <w:r>
        <w:rPr>
          <w:rFonts w:hint="eastAsia"/>
        </w:rPr>
        <w:t>多模块并联运行时，单模块额定容量偏差≤±</w:t>
      </w:r>
      <w:r>
        <w:t>3%</w:t>
      </w:r>
      <w:r>
        <w:rPr>
          <w:rFonts w:hint="eastAsia"/>
        </w:rPr>
        <w:t>，模块间负载分配不平衡度≤</w:t>
      </w:r>
      <w:r>
        <w:t>5%</w:t>
      </w:r>
      <w:r>
        <w:rPr>
          <w:rFonts w:hint="eastAsia"/>
        </w:rPr>
        <w:t>（额定负载下）。</w:t>
      </w:r>
      <w:r>
        <w:rPr>
          <w:rFonts w:ascii="Times New Roman" w:hAnsi="Times New Roman"/>
        </w:rPr>
        <w:t>​</w:t>
      </w:r>
    </w:p>
    <w:p w14:paraId="3E5BF441">
      <w:pPr>
        <w:pStyle w:val="73"/>
        <w:spacing w:before="120" w:after="120"/>
        <w:ind w:left="0" w:leftChars="0" w:firstLineChars="0"/>
      </w:pPr>
      <w:r>
        <w:rPr>
          <w:rFonts w:hint="eastAsia"/>
        </w:rPr>
        <w:t>效率</w:t>
      </w:r>
      <w:r>
        <w:rPr>
          <w:rFonts w:ascii="Times New Roman"/>
        </w:rPr>
        <w:t>​</w:t>
      </w:r>
    </w:p>
    <w:p w14:paraId="68B63EAC">
      <w:pPr>
        <w:pStyle w:val="101"/>
      </w:pPr>
      <w:r>
        <w:rPr>
          <w:rFonts w:hint="eastAsia"/>
        </w:rPr>
        <w:t>额定效率要求</w:t>
      </w:r>
    </w:p>
    <w:p w14:paraId="09ECA4A1">
      <w:pPr>
        <w:pStyle w:val="64"/>
        <w:rPr>
          <w:rFonts w:hint="default" w:eastAsia="宋体"/>
          <w:lang w:val="en-US" w:eastAsia="zh-CN"/>
        </w:rPr>
      </w:pPr>
      <w:r>
        <w:rPr>
          <w:rFonts w:hint="eastAsia"/>
          <w:lang w:val="en-US" w:eastAsia="zh-CN"/>
        </w:rPr>
        <w:t>应符合表2的要求。</w:t>
      </w:r>
    </w:p>
    <w:p w14:paraId="72DA1365">
      <w:pPr>
        <w:pStyle w:val="118"/>
      </w:pPr>
      <w:r>
        <w:rPr>
          <w:rFonts w:hint="eastAsia"/>
        </w:rPr>
        <w:t>额定效率</w:t>
      </w:r>
    </w:p>
    <w:tbl>
      <w:tblPr>
        <w:tblStyle w:val="29"/>
        <w:tblW w:w="4997" w:type="pct"/>
        <w:jc w:val="center"/>
        <w:tblLayout w:type="autofit"/>
        <w:tblCellMar>
          <w:top w:w="0" w:type="dxa"/>
          <w:left w:w="108" w:type="dxa"/>
          <w:bottom w:w="0" w:type="dxa"/>
          <w:right w:w="108" w:type="dxa"/>
        </w:tblCellMar>
      </w:tblPr>
      <w:tblGrid>
        <w:gridCol w:w="2266"/>
        <w:gridCol w:w="1822"/>
        <w:gridCol w:w="1809"/>
        <w:gridCol w:w="1834"/>
        <w:gridCol w:w="1834"/>
      </w:tblGrid>
      <w:tr w14:paraId="7919421E">
        <w:tblPrEx>
          <w:tblCellMar>
            <w:top w:w="0" w:type="dxa"/>
            <w:left w:w="108" w:type="dxa"/>
            <w:bottom w:w="0" w:type="dxa"/>
            <w:right w:w="108" w:type="dxa"/>
          </w:tblCellMar>
        </w:tblPrEx>
        <w:trPr>
          <w:trHeight w:val="23" w:hRule="atLeast"/>
          <w:jc w:val="center"/>
        </w:trPr>
        <w:tc>
          <w:tcPr>
            <w:tcW w:w="1184" w:type="pct"/>
            <w:tcBorders>
              <w:top w:val="single" w:color="000000" w:sz="4" w:space="0"/>
              <w:left w:val="single" w:color="000000" w:sz="4" w:space="0"/>
              <w:bottom w:val="single" w:color="000000" w:sz="4" w:space="0"/>
              <w:right w:val="single" w:color="000000" w:sz="4" w:space="0"/>
            </w:tcBorders>
            <w:vAlign w:val="center"/>
          </w:tcPr>
          <w:p w14:paraId="3F183123">
            <w:pPr>
              <w:pStyle w:val="184"/>
              <w:rPr>
                <w:rFonts w:hint="eastAsia" w:eastAsia="宋体"/>
                <w:szCs w:val="18"/>
                <w:lang w:eastAsia="zh-CN"/>
              </w:rPr>
            </w:pPr>
            <w:r>
              <w:rPr>
                <w:rFonts w:hint="eastAsia"/>
                <w:szCs w:val="18"/>
                <w:lang w:val="en-US" w:eastAsia="zh-CN"/>
              </w:rPr>
              <w:t>项目</w:t>
            </w:r>
          </w:p>
        </w:tc>
        <w:tc>
          <w:tcPr>
            <w:tcW w:w="952" w:type="pct"/>
            <w:tcBorders>
              <w:top w:val="single" w:color="000000" w:sz="4" w:space="0"/>
              <w:left w:val="single" w:color="000000" w:sz="4" w:space="0"/>
              <w:bottom w:val="single" w:color="000000" w:sz="4" w:space="0"/>
              <w:right w:val="single" w:color="000000" w:sz="4" w:space="0"/>
            </w:tcBorders>
            <w:vAlign w:val="center"/>
          </w:tcPr>
          <w:p w14:paraId="3E233974">
            <w:pPr>
              <w:pStyle w:val="184"/>
              <w:rPr>
                <w:szCs w:val="18"/>
              </w:rPr>
            </w:pPr>
            <w:r>
              <w:rPr>
                <w:rFonts w:hint="eastAsia"/>
                <w:szCs w:val="18"/>
              </w:rPr>
              <w:t>额定负载下效率</w:t>
            </w:r>
          </w:p>
        </w:tc>
        <w:tc>
          <w:tcPr>
            <w:tcW w:w="945" w:type="pct"/>
            <w:tcBorders>
              <w:top w:val="single" w:color="000000" w:sz="4" w:space="0"/>
              <w:left w:val="single" w:color="000000" w:sz="4" w:space="0"/>
              <w:bottom w:val="single" w:color="000000" w:sz="4" w:space="0"/>
              <w:right w:val="single" w:color="000000" w:sz="4" w:space="0"/>
            </w:tcBorders>
            <w:vAlign w:val="center"/>
          </w:tcPr>
          <w:p w14:paraId="0A47D12D">
            <w:pPr>
              <w:pStyle w:val="184"/>
              <w:rPr>
                <w:szCs w:val="18"/>
              </w:rPr>
            </w:pPr>
            <w:r>
              <w:rPr>
                <w:rFonts w:hint="eastAsia"/>
                <w:szCs w:val="18"/>
              </w:rPr>
              <w:t>50% 额定负载下效率</w:t>
            </w:r>
          </w:p>
        </w:tc>
        <w:tc>
          <w:tcPr>
            <w:tcW w:w="958" w:type="pct"/>
            <w:tcBorders>
              <w:top w:val="single" w:color="000000" w:sz="4" w:space="0"/>
              <w:left w:val="single" w:color="000000" w:sz="4" w:space="0"/>
              <w:bottom w:val="single" w:color="000000" w:sz="4" w:space="0"/>
              <w:right w:val="single" w:color="000000" w:sz="4" w:space="0"/>
            </w:tcBorders>
            <w:vAlign w:val="center"/>
          </w:tcPr>
          <w:p w14:paraId="73713141">
            <w:pPr>
              <w:pStyle w:val="184"/>
              <w:rPr>
                <w:szCs w:val="18"/>
              </w:rPr>
            </w:pPr>
            <w:r>
              <w:rPr>
                <w:rFonts w:hint="eastAsia"/>
                <w:szCs w:val="18"/>
              </w:rPr>
              <w:t>25% 额定负载下效率</w:t>
            </w:r>
          </w:p>
        </w:tc>
        <w:tc>
          <w:tcPr>
            <w:tcW w:w="958" w:type="pct"/>
            <w:tcBorders>
              <w:top w:val="single" w:color="000000" w:sz="4" w:space="0"/>
              <w:left w:val="single" w:color="000000" w:sz="4" w:space="0"/>
              <w:bottom w:val="single" w:color="000000" w:sz="4" w:space="0"/>
              <w:right w:val="single" w:color="000000" w:sz="4" w:space="0"/>
            </w:tcBorders>
            <w:vAlign w:val="center"/>
          </w:tcPr>
          <w:p w14:paraId="056DD68D">
            <w:pPr>
              <w:pStyle w:val="184"/>
              <w:rPr>
                <w:rFonts w:hint="eastAsia" w:eastAsia="宋体"/>
                <w:szCs w:val="18"/>
                <w:lang w:val="en-US" w:eastAsia="zh-CN"/>
              </w:rPr>
            </w:pPr>
            <w:r>
              <w:rPr>
                <w:rFonts w:hint="eastAsia"/>
                <w:szCs w:val="18"/>
                <w:lang w:val="en-US" w:eastAsia="zh-CN"/>
              </w:rPr>
              <w:t>测试条件</w:t>
            </w:r>
          </w:p>
        </w:tc>
      </w:tr>
      <w:tr w14:paraId="0A7366AB">
        <w:tblPrEx>
          <w:tblCellMar>
            <w:top w:w="0" w:type="dxa"/>
            <w:left w:w="108" w:type="dxa"/>
            <w:bottom w:w="0" w:type="dxa"/>
            <w:right w:w="108" w:type="dxa"/>
          </w:tblCellMar>
        </w:tblPrEx>
        <w:trPr>
          <w:trHeight w:val="23" w:hRule="atLeast"/>
          <w:jc w:val="center"/>
        </w:trPr>
        <w:tc>
          <w:tcPr>
            <w:tcW w:w="1184" w:type="pct"/>
            <w:tcBorders>
              <w:top w:val="single" w:color="000000" w:sz="4" w:space="0"/>
              <w:left w:val="single" w:color="000000" w:sz="4" w:space="0"/>
              <w:bottom w:val="single" w:color="000000" w:sz="4" w:space="0"/>
              <w:right w:val="single" w:color="000000" w:sz="4" w:space="0"/>
            </w:tcBorders>
            <w:vAlign w:val="center"/>
          </w:tcPr>
          <w:p w14:paraId="2105F2BE">
            <w:pPr>
              <w:pStyle w:val="184"/>
              <w:ind w:firstLine="0" w:firstLineChars="0"/>
              <w:rPr>
                <w:szCs w:val="18"/>
              </w:rPr>
            </w:pPr>
            <w:r>
              <w:rPr>
                <w:rFonts w:hint="eastAsia"/>
                <w:szCs w:val="18"/>
              </w:rPr>
              <w:t>分布式光伏用（低压并网）（≤100 kVA）</w:t>
            </w:r>
          </w:p>
        </w:tc>
        <w:tc>
          <w:tcPr>
            <w:tcW w:w="952" w:type="pct"/>
            <w:tcBorders>
              <w:top w:val="single" w:color="000000" w:sz="4" w:space="0"/>
              <w:left w:val="single" w:color="000000" w:sz="4" w:space="0"/>
              <w:bottom w:val="single" w:color="000000" w:sz="4" w:space="0"/>
              <w:right w:val="single" w:color="000000" w:sz="4" w:space="0"/>
            </w:tcBorders>
            <w:vAlign w:val="center"/>
          </w:tcPr>
          <w:p w14:paraId="3402B403">
            <w:pPr>
              <w:pStyle w:val="184"/>
              <w:ind w:firstLine="0" w:firstLineChars="0"/>
              <w:rPr>
                <w:szCs w:val="18"/>
              </w:rPr>
            </w:pPr>
            <w:r>
              <w:rPr>
                <w:rFonts w:hint="eastAsia"/>
                <w:szCs w:val="18"/>
              </w:rPr>
              <w:t>≥97.5%</w:t>
            </w:r>
          </w:p>
        </w:tc>
        <w:tc>
          <w:tcPr>
            <w:tcW w:w="945" w:type="pct"/>
            <w:tcBorders>
              <w:top w:val="single" w:color="000000" w:sz="4" w:space="0"/>
              <w:left w:val="single" w:color="000000" w:sz="4" w:space="0"/>
              <w:bottom w:val="single" w:color="000000" w:sz="4" w:space="0"/>
              <w:right w:val="single" w:color="000000" w:sz="4" w:space="0"/>
            </w:tcBorders>
            <w:vAlign w:val="center"/>
          </w:tcPr>
          <w:p w14:paraId="1A297205">
            <w:pPr>
              <w:pStyle w:val="184"/>
              <w:ind w:firstLine="0" w:firstLineChars="0"/>
              <w:rPr>
                <w:szCs w:val="18"/>
              </w:rPr>
            </w:pPr>
            <w:r>
              <w:rPr>
                <w:rFonts w:hint="eastAsia"/>
                <w:szCs w:val="18"/>
              </w:rPr>
              <w:t>≥97.0%</w:t>
            </w:r>
          </w:p>
        </w:tc>
        <w:tc>
          <w:tcPr>
            <w:tcW w:w="958" w:type="pct"/>
            <w:tcBorders>
              <w:top w:val="single" w:color="000000" w:sz="4" w:space="0"/>
              <w:left w:val="single" w:color="000000" w:sz="4" w:space="0"/>
              <w:bottom w:val="single" w:color="000000" w:sz="4" w:space="0"/>
              <w:right w:val="single" w:color="000000" w:sz="4" w:space="0"/>
            </w:tcBorders>
            <w:vAlign w:val="center"/>
          </w:tcPr>
          <w:p w14:paraId="6D150104">
            <w:pPr>
              <w:pStyle w:val="184"/>
              <w:ind w:firstLine="0" w:firstLineChars="0"/>
              <w:rPr>
                <w:szCs w:val="18"/>
              </w:rPr>
            </w:pPr>
            <w:r>
              <w:rPr>
                <w:rFonts w:hint="eastAsia"/>
                <w:szCs w:val="18"/>
              </w:rPr>
              <w:t>≥96.0%</w:t>
            </w:r>
          </w:p>
        </w:tc>
        <w:tc>
          <w:tcPr>
            <w:tcW w:w="958" w:type="pct"/>
            <w:vMerge w:val="restart"/>
            <w:tcBorders>
              <w:top w:val="single" w:color="000000" w:sz="4" w:space="0"/>
              <w:left w:val="single" w:color="000000" w:sz="4" w:space="0"/>
              <w:right w:val="single" w:color="000000" w:sz="4" w:space="0"/>
            </w:tcBorders>
            <w:vAlign w:val="center"/>
          </w:tcPr>
          <w:p w14:paraId="38BBE708">
            <w:pPr>
              <w:pStyle w:val="184"/>
              <w:ind w:firstLine="0" w:firstLineChars="0"/>
              <w:rPr>
                <w:rFonts w:hint="eastAsia"/>
                <w:szCs w:val="18"/>
              </w:rPr>
            </w:pPr>
            <w:r>
              <w:rPr>
                <w:rFonts w:hint="eastAsia"/>
                <w:szCs w:val="18"/>
              </w:rPr>
              <w:t>环境温度 25℃±5℃，输入电压为额定电压，输出功率因数0.8（滞后）</w:t>
            </w:r>
          </w:p>
        </w:tc>
      </w:tr>
      <w:tr w14:paraId="706655F3">
        <w:tblPrEx>
          <w:tblCellMar>
            <w:top w:w="0" w:type="dxa"/>
            <w:left w:w="108" w:type="dxa"/>
            <w:bottom w:w="0" w:type="dxa"/>
            <w:right w:w="108" w:type="dxa"/>
          </w:tblCellMar>
        </w:tblPrEx>
        <w:trPr>
          <w:trHeight w:val="23" w:hRule="atLeast"/>
          <w:jc w:val="center"/>
        </w:trPr>
        <w:tc>
          <w:tcPr>
            <w:tcW w:w="1184" w:type="pct"/>
            <w:tcBorders>
              <w:top w:val="single" w:color="000000" w:sz="4" w:space="0"/>
              <w:left w:val="single" w:color="000000" w:sz="4" w:space="0"/>
              <w:bottom w:val="single" w:color="000000" w:sz="4" w:space="0"/>
              <w:right w:val="single" w:color="000000" w:sz="4" w:space="0"/>
            </w:tcBorders>
            <w:vAlign w:val="center"/>
          </w:tcPr>
          <w:p w14:paraId="13A83CCF">
            <w:pPr>
              <w:pStyle w:val="184"/>
              <w:ind w:firstLine="0" w:firstLineChars="0"/>
              <w:rPr>
                <w:rFonts w:hint="eastAsia"/>
                <w:szCs w:val="18"/>
              </w:rPr>
            </w:pPr>
            <w:r>
              <w:rPr>
                <w:rFonts w:hint="eastAsia"/>
                <w:szCs w:val="18"/>
              </w:rPr>
              <w:t>分布式光伏用</w:t>
            </w:r>
            <w:r>
              <w:rPr>
                <w:rFonts w:hint="eastAsia"/>
                <w:szCs w:val="18"/>
                <w:highlight w:val="none"/>
              </w:rPr>
              <w:t>（</w:t>
            </w:r>
            <w:r>
              <w:rPr>
                <w:rFonts w:hint="eastAsia"/>
                <w:szCs w:val="18"/>
                <w:highlight w:val="none"/>
                <w:lang w:val="en-US" w:eastAsia="zh-CN"/>
              </w:rPr>
              <w:t>中</w:t>
            </w:r>
            <w:r>
              <w:rPr>
                <w:rFonts w:hint="eastAsia"/>
                <w:szCs w:val="18"/>
                <w:highlight w:val="none"/>
              </w:rPr>
              <w:t>压并网）（</w:t>
            </w:r>
            <w:r>
              <w:rPr>
                <w:rFonts w:hint="eastAsia"/>
                <w:szCs w:val="18"/>
                <w:highlight w:val="none"/>
                <w:lang w:val="en-US" w:eastAsia="zh-CN"/>
              </w:rPr>
              <w:t>≥25</w:t>
            </w:r>
            <w:r>
              <w:rPr>
                <w:rFonts w:hint="eastAsia"/>
                <w:szCs w:val="18"/>
                <w:highlight w:val="none"/>
              </w:rPr>
              <w:t>0 kVA）</w:t>
            </w:r>
          </w:p>
        </w:tc>
        <w:tc>
          <w:tcPr>
            <w:tcW w:w="952" w:type="pct"/>
            <w:tcBorders>
              <w:top w:val="single" w:color="000000" w:sz="4" w:space="0"/>
              <w:left w:val="single" w:color="000000" w:sz="4" w:space="0"/>
              <w:bottom w:val="single" w:color="000000" w:sz="4" w:space="0"/>
              <w:right w:val="single" w:color="000000" w:sz="4" w:space="0"/>
            </w:tcBorders>
            <w:vAlign w:val="center"/>
          </w:tcPr>
          <w:p w14:paraId="52A6EB49">
            <w:pPr>
              <w:pStyle w:val="184"/>
              <w:ind w:firstLine="0" w:firstLineChars="0"/>
              <w:rPr>
                <w:szCs w:val="18"/>
              </w:rPr>
            </w:pPr>
            <w:r>
              <w:rPr>
                <w:rFonts w:hint="eastAsia"/>
                <w:szCs w:val="18"/>
              </w:rPr>
              <w:t>≥97.5%</w:t>
            </w:r>
          </w:p>
        </w:tc>
        <w:tc>
          <w:tcPr>
            <w:tcW w:w="945" w:type="pct"/>
            <w:tcBorders>
              <w:top w:val="single" w:color="000000" w:sz="4" w:space="0"/>
              <w:left w:val="single" w:color="000000" w:sz="4" w:space="0"/>
              <w:bottom w:val="single" w:color="000000" w:sz="4" w:space="0"/>
              <w:right w:val="single" w:color="000000" w:sz="4" w:space="0"/>
            </w:tcBorders>
            <w:vAlign w:val="center"/>
          </w:tcPr>
          <w:p w14:paraId="0F2DB990">
            <w:pPr>
              <w:pStyle w:val="184"/>
              <w:ind w:firstLine="0" w:firstLineChars="0"/>
              <w:rPr>
                <w:szCs w:val="18"/>
              </w:rPr>
            </w:pPr>
            <w:r>
              <w:rPr>
                <w:rFonts w:hint="eastAsia"/>
                <w:szCs w:val="18"/>
              </w:rPr>
              <w:t>≥97.</w:t>
            </w:r>
            <w:r>
              <w:rPr>
                <w:rFonts w:hint="eastAsia"/>
                <w:szCs w:val="18"/>
                <w:lang w:val="en-US" w:eastAsia="zh-CN"/>
              </w:rPr>
              <w:t>2</w:t>
            </w:r>
            <w:r>
              <w:rPr>
                <w:rFonts w:hint="eastAsia"/>
                <w:szCs w:val="18"/>
              </w:rPr>
              <w:t>%</w:t>
            </w:r>
          </w:p>
        </w:tc>
        <w:tc>
          <w:tcPr>
            <w:tcW w:w="958" w:type="pct"/>
            <w:tcBorders>
              <w:top w:val="single" w:color="000000" w:sz="4" w:space="0"/>
              <w:left w:val="single" w:color="000000" w:sz="4" w:space="0"/>
              <w:bottom w:val="single" w:color="000000" w:sz="4" w:space="0"/>
              <w:right w:val="single" w:color="000000" w:sz="4" w:space="0"/>
            </w:tcBorders>
            <w:vAlign w:val="center"/>
          </w:tcPr>
          <w:p w14:paraId="425656CC">
            <w:pPr>
              <w:pStyle w:val="184"/>
              <w:ind w:firstLine="0" w:firstLineChars="0"/>
              <w:rPr>
                <w:szCs w:val="18"/>
              </w:rPr>
            </w:pPr>
            <w:r>
              <w:rPr>
                <w:rFonts w:hint="eastAsia"/>
                <w:szCs w:val="18"/>
              </w:rPr>
              <w:t>≥96.</w:t>
            </w:r>
            <w:r>
              <w:rPr>
                <w:rFonts w:hint="eastAsia"/>
                <w:szCs w:val="18"/>
                <w:lang w:val="en-US" w:eastAsia="zh-CN"/>
              </w:rPr>
              <w:t>5</w:t>
            </w:r>
            <w:r>
              <w:rPr>
                <w:rFonts w:hint="eastAsia"/>
                <w:szCs w:val="18"/>
              </w:rPr>
              <w:t>%</w:t>
            </w:r>
          </w:p>
        </w:tc>
        <w:tc>
          <w:tcPr>
            <w:tcW w:w="958" w:type="pct"/>
            <w:vMerge w:val="continue"/>
            <w:tcBorders>
              <w:left w:val="single" w:color="000000" w:sz="4" w:space="0"/>
              <w:bottom w:val="single" w:color="000000" w:sz="4" w:space="0"/>
              <w:right w:val="single" w:color="000000" w:sz="4" w:space="0"/>
            </w:tcBorders>
            <w:vAlign w:val="center"/>
          </w:tcPr>
          <w:p w14:paraId="6DE0C41A">
            <w:pPr>
              <w:pStyle w:val="184"/>
              <w:ind w:firstLine="0" w:firstLineChars="0"/>
              <w:rPr>
                <w:rFonts w:hint="eastAsia"/>
                <w:szCs w:val="18"/>
              </w:rPr>
            </w:pPr>
          </w:p>
        </w:tc>
      </w:tr>
    </w:tbl>
    <w:p w14:paraId="148AB145">
      <w:pPr>
        <w:pStyle w:val="101"/>
        <w:rPr>
          <w:highlight w:val="none"/>
        </w:rPr>
      </w:pPr>
      <w:r>
        <w:rPr>
          <w:rFonts w:hint="eastAsia"/>
          <w:highlight w:val="none"/>
        </w:rPr>
        <w:t>损耗要求</w:t>
      </w:r>
    </w:p>
    <w:p w14:paraId="32B84AEB">
      <w:pPr>
        <w:pStyle w:val="64"/>
        <w:rPr>
          <w:rFonts w:hint="eastAsia" w:ascii="宋体" w:hAnsi="黑体" w:eastAsia="宋体" w:cs="Times New Roman"/>
          <w:sz w:val="21"/>
          <w:szCs w:val="52"/>
          <w:lang w:val="en-US" w:eastAsia="zh-CN" w:bidi="ar-SA"/>
        </w:rPr>
      </w:pPr>
      <w:r>
        <w:rPr>
          <w:rFonts w:hint="eastAsia" w:ascii="宋体" w:hAnsi="黑体" w:eastAsia="宋体" w:cs="Times New Roman"/>
          <w:sz w:val="21"/>
          <w:szCs w:val="52"/>
          <w:lang w:val="en-US" w:eastAsia="zh-CN" w:bidi="ar-SA"/>
        </w:rPr>
        <w:t>待机损耗应不超过额定容量的0.1%，空载损耗应不超过额定容量的0.2%。</w:t>
      </w:r>
    </w:p>
    <w:p w14:paraId="6FADC9D4">
      <w:pPr>
        <w:pStyle w:val="186"/>
        <w:bidi w:val="0"/>
        <w:rPr>
          <w:rFonts w:hint="eastAsia" w:eastAsia="宋体"/>
          <w:b w:val="0"/>
          <w:bCs w:val="0"/>
          <w:color w:val="auto"/>
          <w:highlight w:val="none"/>
          <w:lang w:eastAsia="zh-CN"/>
        </w:rPr>
      </w:pPr>
      <w:r>
        <w:rPr>
          <w:rFonts w:hint="eastAsia"/>
          <w:b w:val="0"/>
          <w:bCs w:val="0"/>
          <w:color w:val="auto"/>
          <w:highlight w:val="none"/>
          <w:lang w:val="en-US" w:eastAsia="zh-CN"/>
        </w:rPr>
        <w:t>待机损耗为</w:t>
      </w:r>
      <w:r>
        <w:rPr>
          <w:rFonts w:hint="eastAsia"/>
          <w:b w:val="0"/>
          <w:bCs w:val="0"/>
          <w:color w:val="auto"/>
          <w:highlight w:val="none"/>
        </w:rPr>
        <w:t>固态变压器</w:t>
      </w:r>
      <w:r>
        <w:rPr>
          <w:rFonts w:hint="eastAsia"/>
          <w:b w:val="0"/>
          <w:bCs w:val="0"/>
          <w:strike w:val="0"/>
          <w:dstrike w:val="0"/>
          <w:color w:val="auto"/>
          <w:highlight w:val="none"/>
          <w:lang w:val="en-US" w:eastAsia="zh-CN"/>
        </w:rPr>
        <w:t>交直端口分断设备闭合</w:t>
      </w:r>
      <w:r>
        <w:rPr>
          <w:rFonts w:hint="eastAsia"/>
          <w:b w:val="0"/>
          <w:bCs w:val="0"/>
          <w:strike w:val="0"/>
          <w:dstrike w:val="0"/>
          <w:color w:val="auto"/>
          <w:highlight w:val="none"/>
          <w:lang w:eastAsia="zh-CN"/>
        </w:rPr>
        <w:t>，</w:t>
      </w:r>
      <w:r>
        <w:rPr>
          <w:rFonts w:hint="eastAsia"/>
          <w:b w:val="0"/>
          <w:bCs w:val="0"/>
          <w:strike w:val="0"/>
          <w:dstrike w:val="0"/>
          <w:color w:val="auto"/>
          <w:highlight w:val="none"/>
          <w:lang w:val="en-US" w:eastAsia="zh-CN"/>
        </w:rPr>
        <w:t>固态变压器</w:t>
      </w:r>
      <w:r>
        <w:rPr>
          <w:rFonts w:hint="eastAsia"/>
          <w:b w:val="0"/>
          <w:bCs w:val="0"/>
          <w:strike w:val="0"/>
          <w:dstrike w:val="0"/>
          <w:color w:val="auto"/>
          <w:highlight w:val="none"/>
          <w:lang w:eastAsia="zh-CN"/>
        </w:rPr>
        <w:t>处</w:t>
      </w:r>
      <w:r>
        <w:rPr>
          <w:rFonts w:hint="eastAsia"/>
          <w:b w:val="0"/>
          <w:bCs w:val="0"/>
          <w:strike w:val="0"/>
          <w:dstrike w:val="0"/>
          <w:color w:val="auto"/>
          <w:highlight w:val="none"/>
          <w:lang w:val="en-US" w:eastAsia="zh-CN"/>
        </w:rPr>
        <w:t>于</w:t>
      </w:r>
      <w:r>
        <w:rPr>
          <w:rFonts w:hint="eastAsia"/>
          <w:b w:val="0"/>
          <w:bCs w:val="0"/>
          <w:strike w:val="0"/>
          <w:dstrike w:val="0"/>
          <w:color w:val="auto"/>
          <w:highlight w:val="none"/>
          <w:lang w:eastAsia="zh-CN"/>
        </w:rPr>
        <w:t>停机状态</w:t>
      </w:r>
      <w:r>
        <w:rPr>
          <w:rFonts w:hint="eastAsia"/>
          <w:b w:val="0"/>
          <w:bCs w:val="0"/>
          <w:color w:val="auto"/>
          <w:highlight w:val="none"/>
          <w:lang w:eastAsia="zh-CN"/>
        </w:rPr>
        <w:t>。</w:t>
      </w:r>
    </w:p>
    <w:p w14:paraId="15A4DE59">
      <w:pPr>
        <w:pStyle w:val="186"/>
        <w:bidi w:val="0"/>
        <w:rPr>
          <w:rFonts w:hint="eastAsia" w:eastAsia="宋体"/>
          <w:b w:val="0"/>
          <w:bCs w:val="0"/>
          <w:color w:val="auto"/>
          <w:highlight w:val="none"/>
          <w:lang w:eastAsia="zh-CN"/>
        </w:rPr>
      </w:pPr>
      <w:r>
        <w:rPr>
          <w:rFonts w:hint="eastAsia"/>
          <w:b w:val="0"/>
          <w:bCs w:val="0"/>
          <w:color w:val="auto"/>
          <w:highlight w:val="none"/>
          <w:lang w:val="en-US" w:eastAsia="zh-CN"/>
        </w:rPr>
        <w:t>空载损耗为</w:t>
      </w:r>
      <w:r>
        <w:rPr>
          <w:rFonts w:hint="eastAsia"/>
          <w:b w:val="0"/>
          <w:bCs w:val="0"/>
          <w:color w:val="auto"/>
          <w:highlight w:val="none"/>
        </w:rPr>
        <w:t>固态变压器</w:t>
      </w:r>
      <w:r>
        <w:rPr>
          <w:rFonts w:hint="eastAsia"/>
          <w:b w:val="0"/>
          <w:bCs w:val="0"/>
          <w:strike w:val="0"/>
          <w:dstrike w:val="0"/>
          <w:color w:val="auto"/>
          <w:highlight w:val="none"/>
          <w:lang w:val="en-US" w:eastAsia="zh-CN"/>
        </w:rPr>
        <w:t>交直端口分断设备闭合</w:t>
      </w:r>
      <w:r>
        <w:rPr>
          <w:rFonts w:hint="eastAsia"/>
          <w:b w:val="0"/>
          <w:bCs w:val="0"/>
          <w:color w:val="auto"/>
          <w:highlight w:val="none"/>
        </w:rPr>
        <w:t>，</w:t>
      </w:r>
      <w:r>
        <w:rPr>
          <w:rFonts w:hint="eastAsia"/>
          <w:b w:val="0"/>
          <w:bCs w:val="0"/>
          <w:strike w:val="0"/>
          <w:dstrike w:val="0"/>
          <w:color w:val="auto"/>
          <w:highlight w:val="none"/>
          <w:lang w:val="en-US" w:eastAsia="zh-CN"/>
        </w:rPr>
        <w:t>固态变压器处于最小功率运行状态</w:t>
      </w:r>
      <w:r>
        <w:rPr>
          <w:rFonts w:hint="eastAsia"/>
          <w:b w:val="0"/>
          <w:bCs w:val="0"/>
          <w:color w:val="auto"/>
          <w:highlight w:val="none"/>
        </w:rPr>
        <w:t>。</w:t>
      </w:r>
    </w:p>
    <w:p w14:paraId="75AD5D36">
      <w:pPr>
        <w:pStyle w:val="73"/>
        <w:spacing w:before="120" w:after="120"/>
        <w:ind w:left="0" w:leftChars="0" w:firstLineChars="0"/>
      </w:pPr>
      <w:r>
        <w:rPr>
          <w:rFonts w:hint="eastAsia"/>
        </w:rPr>
        <w:t>过载能力</w:t>
      </w:r>
      <w:r>
        <w:rPr>
          <w:rFonts w:ascii="Times New Roman"/>
        </w:rPr>
        <w:t>​</w:t>
      </w:r>
    </w:p>
    <w:p w14:paraId="16DDE59E">
      <w:pPr>
        <w:pStyle w:val="101"/>
      </w:pPr>
      <w:r>
        <w:rPr>
          <w:rFonts w:hint="eastAsia"/>
        </w:rPr>
        <w:t>过载要求</w:t>
      </w:r>
      <w:r>
        <w:rPr>
          <w:rFonts w:ascii="Times New Roman"/>
        </w:rPr>
        <w:t>​</w:t>
      </w:r>
    </w:p>
    <w:p w14:paraId="59BEA1C2">
      <w:pPr>
        <w:pStyle w:val="173"/>
        <w:rPr>
          <w:highlight w:val="none"/>
        </w:rPr>
      </w:pPr>
      <w:r>
        <w:rPr>
          <w:rFonts w:hint="eastAsia"/>
          <w:highlight w:val="none"/>
        </w:rPr>
        <w:t>额定工作温度内过载倍数</w:t>
      </w:r>
      <w:r>
        <w:rPr>
          <w:highlight w:val="none"/>
        </w:rPr>
        <w:t>1.</w:t>
      </w:r>
      <w:r>
        <w:rPr>
          <w:rFonts w:hint="eastAsia"/>
          <w:highlight w:val="none"/>
        </w:rPr>
        <w:t>1倍</w:t>
      </w:r>
      <w:r>
        <w:rPr>
          <w:rFonts w:hint="eastAsia"/>
          <w:highlight w:val="none"/>
          <w:lang w:eastAsia="zh-CN"/>
        </w:rPr>
        <w:t>，</w:t>
      </w:r>
      <w:r>
        <w:rPr>
          <w:rFonts w:hint="eastAsia"/>
          <w:highlight w:val="none"/>
          <w:lang w:val="en-US" w:eastAsia="zh-CN"/>
        </w:rPr>
        <w:t>间隔2min～10min，才能进行再次过载</w:t>
      </w:r>
      <w:r>
        <w:rPr>
          <w:rFonts w:hint="eastAsia"/>
          <w:highlight w:val="none"/>
          <w:lang w:eastAsia="zh-CN"/>
        </w:rPr>
        <w:t>；</w:t>
      </w:r>
      <w:r>
        <w:rPr>
          <w:rFonts w:hint="eastAsia"/>
          <w:highlight w:val="none"/>
        </w:rPr>
        <w:t>持续运行时间为长期。</w:t>
      </w:r>
    </w:p>
    <w:p w14:paraId="41755033">
      <w:pPr>
        <w:pStyle w:val="173"/>
      </w:pPr>
      <w:r>
        <w:rPr>
          <w:rFonts w:hint="eastAsia"/>
          <w:highlight w:val="none"/>
        </w:rPr>
        <w:t>额定工作温度内过载倍数</w:t>
      </w:r>
      <w:r>
        <w:rPr>
          <w:highlight w:val="none"/>
        </w:rPr>
        <w:t xml:space="preserve"> 1.2</w:t>
      </w:r>
      <w:r>
        <w:t xml:space="preserve"> </w:t>
      </w:r>
      <w:r>
        <w:rPr>
          <w:rFonts w:hint="eastAsia"/>
        </w:rPr>
        <w:t>倍</w:t>
      </w:r>
      <w:r>
        <w:rPr>
          <w:rFonts w:hint="eastAsia"/>
          <w:lang w:eastAsia="zh-CN"/>
        </w:rPr>
        <w:t>，</w:t>
      </w:r>
      <w:r>
        <w:rPr>
          <w:rFonts w:hint="eastAsia"/>
          <w:lang w:val="en-US" w:eastAsia="zh-CN"/>
        </w:rPr>
        <w:t>间隔2min～10min，才能进行再次过载</w:t>
      </w:r>
      <w:r>
        <w:rPr>
          <w:rFonts w:hint="eastAsia"/>
          <w:lang w:eastAsia="zh-CN"/>
        </w:rPr>
        <w:t>；</w:t>
      </w:r>
      <w:r>
        <w:rPr>
          <w:rFonts w:hint="eastAsia"/>
        </w:rPr>
        <w:t>持续运行时间≥1</w:t>
      </w:r>
      <w:r>
        <w:rPr>
          <w:rFonts w:ascii="Times New Roman" w:hAnsi="Times New Roman"/>
        </w:rPr>
        <w:t xml:space="preserve"> </w:t>
      </w:r>
      <w:r>
        <w:t>min</w:t>
      </w:r>
      <w:r>
        <w:rPr>
          <w:rFonts w:hint="eastAsia"/>
        </w:rPr>
        <w:t>。</w:t>
      </w:r>
    </w:p>
    <w:p w14:paraId="06972693">
      <w:pPr>
        <w:pStyle w:val="101"/>
      </w:pPr>
      <w:r>
        <w:rPr>
          <w:rFonts w:hint="eastAsia"/>
        </w:rPr>
        <w:t>过载保护与恢复</w:t>
      </w:r>
      <w:r>
        <w:rPr>
          <w:rFonts w:ascii="Times New Roman"/>
        </w:rPr>
        <w:t>​</w:t>
      </w:r>
    </w:p>
    <w:p w14:paraId="6FAF7FF6">
      <w:pPr>
        <w:pStyle w:val="173"/>
      </w:pPr>
      <w:r>
        <w:rPr>
          <w:rFonts w:hint="eastAsia"/>
        </w:rPr>
        <w:t>过载保护应具备反时限特性，</w:t>
      </w:r>
      <w:r>
        <w:rPr>
          <w:rFonts w:hint="eastAsia"/>
          <w:highlight w:val="none"/>
        </w:rPr>
        <w:t>过载倍数越大，允许持续时间越短</w:t>
      </w:r>
      <w:r>
        <w:rPr>
          <w:rFonts w:hint="eastAsia"/>
        </w:rPr>
        <w:t>，且保护动作值误差≤±</w:t>
      </w:r>
      <w:r>
        <w:t>5%</w:t>
      </w:r>
      <w:r>
        <w:rPr>
          <w:rFonts w:hint="eastAsia"/>
        </w:rPr>
        <w:t>；</w:t>
      </w:r>
      <w:r>
        <w:rPr>
          <w:rFonts w:ascii="Times New Roman" w:hAnsi="Times New Roman"/>
        </w:rPr>
        <w:t>​</w:t>
      </w:r>
    </w:p>
    <w:p w14:paraId="3ACCEC4C">
      <w:pPr>
        <w:pStyle w:val="173"/>
      </w:pPr>
      <w:r>
        <w:rPr>
          <w:rFonts w:hint="eastAsia"/>
        </w:rPr>
        <w:t>过载解除后，设备应能自动恢复额定运行状态，恢复时间≤</w:t>
      </w:r>
      <w:r>
        <w:t>30</w:t>
      </w:r>
      <w:r>
        <w:rPr>
          <w:rFonts w:ascii="Times New Roman" w:hAnsi="Times New Roman"/>
        </w:rPr>
        <w:t xml:space="preserve"> </w:t>
      </w:r>
      <w:r>
        <w:t>s</w:t>
      </w:r>
      <w:r>
        <w:rPr>
          <w:rFonts w:hint="eastAsia"/>
        </w:rPr>
        <w:t>，无需人工干预；</w:t>
      </w:r>
      <w:r>
        <w:rPr>
          <w:rFonts w:ascii="Times New Roman" w:hAnsi="Times New Roman"/>
        </w:rPr>
        <w:t>​</w:t>
      </w:r>
    </w:p>
    <w:p w14:paraId="6291F7CC">
      <w:pPr>
        <w:pStyle w:val="64"/>
        <w:ind w:firstLine="0" w:firstLineChars="0"/>
      </w:pPr>
      <w:r>
        <w:rPr>
          <w:rFonts w:hint="eastAsia"/>
        </w:rPr>
        <w:t>长期过载限制：不允许超过2.0倍额定容量的过载，且24小时内累计过载时间≤30</w:t>
      </w:r>
      <w:r>
        <w:rPr>
          <w:rFonts w:ascii="Times New Roman"/>
        </w:rPr>
        <w:t xml:space="preserve"> </w:t>
      </w:r>
      <w:r>
        <w:rPr>
          <w:rFonts w:hint="eastAsia"/>
        </w:rPr>
        <w:t>min，避免设备老化加速。</w:t>
      </w:r>
    </w:p>
    <w:p w14:paraId="14DC454C">
      <w:pPr>
        <w:pStyle w:val="111"/>
        <w:spacing w:before="120" w:after="120"/>
      </w:pPr>
      <w:bookmarkStart w:id="102" w:name="_Toc24051"/>
      <w:bookmarkStart w:id="103" w:name="_Toc397"/>
      <w:bookmarkStart w:id="104" w:name="_Toc214620382"/>
      <w:r>
        <w:rPr>
          <w:rFonts w:hint="eastAsia"/>
        </w:rPr>
        <w:t>电气性能</w:t>
      </w:r>
      <w:bookmarkEnd w:id="102"/>
      <w:bookmarkEnd w:id="103"/>
    </w:p>
    <w:p w14:paraId="615B3592">
      <w:pPr>
        <w:pStyle w:val="73"/>
        <w:spacing w:before="120" w:after="120"/>
        <w:ind w:left="0" w:leftChars="0" w:firstLineChars="0"/>
      </w:pPr>
      <w:r>
        <w:rPr>
          <w:rFonts w:hint="eastAsia"/>
        </w:rPr>
        <w:t>有功控制</w:t>
      </w:r>
      <w:bookmarkEnd w:id="104"/>
    </w:p>
    <w:p w14:paraId="03230E64">
      <w:pPr>
        <w:pStyle w:val="101"/>
      </w:pPr>
      <w:r>
        <w:rPr>
          <w:rFonts w:hint="eastAsia"/>
        </w:rPr>
        <w:t>标称功率</w:t>
      </w:r>
    </w:p>
    <w:p w14:paraId="72EBB877">
      <w:pPr>
        <w:pStyle w:val="64"/>
      </w:pPr>
      <w:r>
        <w:rPr>
          <w:rFonts w:hint="eastAsia"/>
        </w:rPr>
        <w:t>固态变压器输出额定有功功率应满足标称功率要求,并应满足1.1倍额定功率长期过载运行的要求。</w:t>
      </w:r>
    </w:p>
    <w:p w14:paraId="58109887">
      <w:pPr>
        <w:pStyle w:val="101"/>
      </w:pPr>
      <w:r>
        <w:rPr>
          <w:rFonts w:hint="eastAsia"/>
        </w:rPr>
        <w:t>有功功率</w:t>
      </w:r>
    </w:p>
    <w:p w14:paraId="0FB86829">
      <w:pPr>
        <w:pStyle w:val="101"/>
      </w:pPr>
      <w:r>
        <w:rPr>
          <w:rFonts w:hint="eastAsia"/>
        </w:rPr>
        <w:t>给定值控制</w:t>
      </w:r>
    </w:p>
    <w:p w14:paraId="30809CB3">
      <w:pPr>
        <w:pStyle w:val="64"/>
      </w:pPr>
      <w:r>
        <w:t>给定值控制功能应满足下列要求</w:t>
      </w:r>
      <w:r>
        <w:rPr>
          <w:rFonts w:hint="eastAsia"/>
        </w:rPr>
        <w:t>：</w:t>
      </w:r>
    </w:p>
    <w:p w14:paraId="51085485">
      <w:pPr>
        <w:pStyle w:val="180"/>
        <w:numPr>
          <w:ilvl w:val="0"/>
          <w:numId w:val="43"/>
        </w:numPr>
      </w:pPr>
      <w:r>
        <w:rPr>
          <w:rFonts w:hint="eastAsia"/>
        </w:rPr>
        <w:t>A类固态变压器应具备有功功率连续平滑调节的能力，能接受功率控制系统指令调节有功功率输出值。控制误差应为固态变压器额定有功功率的±1%，响应时间不应大于1</w:t>
      </w:r>
      <w:r>
        <w:rPr>
          <w:rFonts w:ascii="Times New Roman"/>
        </w:rPr>
        <w:t xml:space="preserve"> </w:t>
      </w:r>
      <w:r>
        <w:rPr>
          <w:rFonts w:hint="eastAsia"/>
        </w:rPr>
        <w:t>s，响应时间的计算方法应满足附录C的要求；</w:t>
      </w:r>
    </w:p>
    <w:p w14:paraId="479F55D2">
      <w:pPr>
        <w:pStyle w:val="180"/>
        <w:numPr>
          <w:ilvl w:val="0"/>
          <w:numId w:val="43"/>
        </w:numPr>
      </w:pPr>
      <w:r>
        <w:rPr>
          <w:rFonts w:hint="eastAsia"/>
        </w:rPr>
        <w:t>B类固态变压器宜与A类光伏固态变压器的要求相同。</w:t>
      </w:r>
    </w:p>
    <w:p w14:paraId="46AC3B85">
      <w:pPr>
        <w:pStyle w:val="101"/>
      </w:pPr>
      <w:r>
        <w:rPr>
          <w:rFonts w:hint="eastAsia"/>
        </w:rPr>
        <w:t>启停机变化率控制</w:t>
      </w:r>
    </w:p>
    <w:p w14:paraId="58743C2D">
      <w:pPr>
        <w:pStyle w:val="64"/>
      </w:pPr>
      <w:r>
        <w:rPr>
          <w:rFonts w:hint="eastAsia"/>
        </w:rPr>
        <w:t>启停机变化率控制功能应满足下列要求：</w:t>
      </w:r>
    </w:p>
    <w:p w14:paraId="7E356289">
      <w:pPr>
        <w:pStyle w:val="180"/>
        <w:numPr>
          <w:ilvl w:val="0"/>
          <w:numId w:val="44"/>
        </w:numPr>
      </w:pPr>
      <w:r>
        <w:rPr>
          <w:rFonts w:hint="eastAsia"/>
        </w:rPr>
        <w:t>A类固态变压器应能设置启停机时有功功率的变化速度，固态变压器启动和停机时有功功率控制误差不应超过额定有功功率的±5%，启动和停机过程中交流侧输出的最大峰值电流不应超过额定交流峰值电流的1.1倍；</w:t>
      </w:r>
    </w:p>
    <w:p w14:paraId="611219F4">
      <w:pPr>
        <w:pStyle w:val="180"/>
        <w:numPr>
          <w:ilvl w:val="0"/>
          <w:numId w:val="44"/>
        </w:numPr>
      </w:pPr>
      <w:r>
        <w:rPr>
          <w:rFonts w:hint="eastAsia"/>
        </w:rPr>
        <w:t>B类固态变压器宜与A类光伏固态变压器的要求相同，但可不具备启停机变化率控制的功能。</w:t>
      </w:r>
    </w:p>
    <w:p w14:paraId="0E7A8CF8">
      <w:pPr>
        <w:pStyle w:val="101"/>
      </w:pPr>
      <w:r>
        <w:rPr>
          <w:rFonts w:hint="eastAsia"/>
        </w:rPr>
        <w:t>一次调频控制</w:t>
      </w:r>
    </w:p>
    <w:p w14:paraId="0E7ECC15">
      <w:pPr>
        <w:pStyle w:val="64"/>
      </w:pPr>
      <w:r>
        <w:rPr>
          <w:rFonts w:hint="eastAsia"/>
        </w:rPr>
        <w:t>固态变压器宜具有一次调频控制的功能，当系统频率偏差值大于0.03</w:t>
      </w:r>
      <w:r>
        <w:rPr>
          <w:rFonts w:ascii="Times New Roman"/>
        </w:rPr>
        <w:t xml:space="preserve"> </w:t>
      </w:r>
      <w:r>
        <w:rPr>
          <w:rFonts w:hint="eastAsia"/>
        </w:rPr>
        <w:t>Hz,固态变压器应能调节有功输出，具体要求如下：</w:t>
      </w:r>
    </w:p>
    <w:p w14:paraId="3167E7C5">
      <w:pPr>
        <w:pStyle w:val="180"/>
        <w:numPr>
          <w:ilvl w:val="0"/>
          <w:numId w:val="45"/>
        </w:numPr>
      </w:pPr>
      <w:r>
        <w:rPr>
          <w:rFonts w:hint="eastAsia"/>
        </w:rPr>
        <w:t>当系统频率上升时，固态变压器应减少有功输出，有功出力最大减少量为20%</w:t>
      </w:r>
      <w:r>
        <w:rPr>
          <w:rFonts w:hint="eastAsia"/>
          <w:i/>
          <w:iCs/>
        </w:rPr>
        <w:t>P</w:t>
      </w:r>
      <w:r>
        <w:rPr>
          <w:rFonts w:hint="eastAsia"/>
          <w:i/>
          <w:iCs/>
          <w:vertAlign w:val="subscript"/>
        </w:rPr>
        <w:t>N</w:t>
      </w:r>
      <w:r>
        <w:rPr>
          <w:rFonts w:hint="eastAsia"/>
        </w:rPr>
        <w:t>；</w:t>
      </w:r>
    </w:p>
    <w:p w14:paraId="7A33357F">
      <w:pPr>
        <w:pStyle w:val="180"/>
        <w:numPr>
          <w:ilvl w:val="0"/>
          <w:numId w:val="45"/>
        </w:numPr>
      </w:pPr>
      <w:r>
        <w:rPr>
          <w:rFonts w:hint="eastAsia"/>
        </w:rPr>
        <w:t>当系统频率下降时，固态变压器配有储能设备时可增加有功输出；</w:t>
      </w:r>
    </w:p>
    <w:p w14:paraId="19984D8A">
      <w:pPr>
        <w:pStyle w:val="180"/>
        <w:numPr>
          <w:ilvl w:val="0"/>
          <w:numId w:val="45"/>
        </w:numPr>
      </w:pPr>
      <w:r>
        <w:rPr>
          <w:rFonts w:hint="eastAsia"/>
        </w:rPr>
        <w:t>一次调频的调差率应可设置；</w:t>
      </w:r>
    </w:p>
    <w:p w14:paraId="02E3591D">
      <w:pPr>
        <w:pStyle w:val="180"/>
        <w:numPr>
          <w:ilvl w:val="0"/>
          <w:numId w:val="45"/>
        </w:numPr>
      </w:pPr>
      <w:r>
        <w:rPr>
          <w:rFonts w:hint="eastAsia"/>
        </w:rPr>
        <w:t>一次调频控制响应时间不应大于500</w:t>
      </w:r>
      <w:r>
        <w:rPr>
          <w:rFonts w:ascii="Times New Roman"/>
        </w:rPr>
        <w:t xml:space="preserve"> </w:t>
      </w:r>
      <w:r>
        <w:rPr>
          <w:rFonts w:hint="eastAsia"/>
        </w:rPr>
        <w:t>ms,调节时间不应大于2</w:t>
      </w:r>
      <w:r>
        <w:rPr>
          <w:rFonts w:ascii="Times New Roman"/>
        </w:rPr>
        <w:t xml:space="preserve"> </w:t>
      </w:r>
      <w:r>
        <w:rPr>
          <w:rFonts w:hint="eastAsia"/>
        </w:rPr>
        <w:t>s。</w:t>
      </w:r>
    </w:p>
    <w:p w14:paraId="66DE66EE">
      <w:pPr>
        <w:pStyle w:val="180"/>
        <w:numPr>
          <w:ilvl w:val="0"/>
          <w:numId w:val="45"/>
        </w:numPr>
      </w:pPr>
      <w:r>
        <w:rPr>
          <w:rFonts w:hint="eastAsia"/>
          <w:i/>
          <w:iCs/>
        </w:rPr>
        <w:t>P</w:t>
      </w:r>
      <w:r>
        <w:rPr>
          <w:rFonts w:hint="eastAsia"/>
          <w:i/>
          <w:iCs/>
          <w:vertAlign w:val="subscript"/>
        </w:rPr>
        <w:t>n</w:t>
      </w:r>
      <w:r>
        <w:rPr>
          <w:rFonts w:hint="eastAsia"/>
        </w:rPr>
        <w:t>为被测固态变压器的额定有功功率值。</w:t>
      </w:r>
    </w:p>
    <w:p w14:paraId="7D1F978B">
      <w:pPr>
        <w:pStyle w:val="73"/>
        <w:spacing w:before="120" w:after="120"/>
        <w:ind w:left="0" w:leftChars="0" w:firstLineChars="0"/>
      </w:pPr>
      <w:bookmarkStart w:id="105" w:name="_Toc214620383"/>
      <w:r>
        <w:rPr>
          <w:rFonts w:hint="eastAsia"/>
        </w:rPr>
        <w:t>无功功率</w:t>
      </w:r>
      <w:bookmarkEnd w:id="105"/>
    </w:p>
    <w:p w14:paraId="4005B398">
      <w:pPr>
        <w:pStyle w:val="101"/>
      </w:pPr>
      <w:r>
        <w:rPr>
          <w:rFonts w:hint="eastAsia"/>
        </w:rPr>
        <w:t>无功容量</w:t>
      </w:r>
    </w:p>
    <w:p w14:paraId="35C7B10D">
      <w:pPr>
        <w:pStyle w:val="64"/>
      </w:pPr>
      <w:r>
        <w:rPr>
          <w:rFonts w:hint="eastAsia"/>
        </w:rPr>
        <w:t>固态变压器稳态无功功率输出范围应满足图1要求，A类固态变压器应在所示实线矩形框内动态可调，B类固态变压器应在所示阴影框内动态可调。</w:t>
      </w:r>
    </w:p>
    <w:p w14:paraId="48E0099A">
      <w:pPr>
        <w:pStyle w:val="64"/>
      </w:pPr>
      <w:r>
        <w:rPr>
          <w:rFonts w:hint="eastAsia"/>
        </w:rPr>
        <w:t>具备电网无功支撑能力的A类固态变压器无功功率输出范围宜在虚线矩形框内动态可调。</w:t>
      </w:r>
    </w:p>
    <w:p w14:paraId="55DD3688">
      <w:pPr>
        <w:pStyle w:val="64"/>
        <w:jc w:val="center"/>
      </w:pPr>
      <w:r>
        <w:drawing>
          <wp:inline distT="0" distB="0" distL="114300" distR="114300">
            <wp:extent cx="4625340" cy="3395980"/>
            <wp:effectExtent l="0" t="0" r="3810" b="13970"/>
            <wp:docPr id="12722339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33967" name="图片 2"/>
                    <pic:cNvPicPr>
                      <a:picLocks noChangeAspect="1"/>
                    </pic:cNvPicPr>
                  </pic:nvPicPr>
                  <pic:blipFill>
                    <a:blip r:embed="rId22"/>
                    <a:stretch>
                      <a:fillRect/>
                    </a:stretch>
                  </pic:blipFill>
                  <pic:spPr>
                    <a:xfrm>
                      <a:off x="0" y="0"/>
                      <a:ext cx="4625340" cy="3395980"/>
                    </a:xfrm>
                    <a:prstGeom prst="rect">
                      <a:avLst/>
                    </a:prstGeom>
                    <a:noFill/>
                    <a:ln>
                      <a:noFill/>
                    </a:ln>
                  </pic:spPr>
                </pic:pic>
              </a:graphicData>
            </a:graphic>
          </wp:inline>
        </w:drawing>
      </w:r>
    </w:p>
    <w:p w14:paraId="2281D43A">
      <w:pPr>
        <w:pStyle w:val="120"/>
        <w:spacing w:before="120" w:after="120"/>
      </w:pPr>
      <w:r>
        <w:rPr>
          <w:rFonts w:hint="eastAsia"/>
        </w:rPr>
        <w:t>固态变压器无功出力范围</w:t>
      </w:r>
    </w:p>
    <w:p w14:paraId="69B78039">
      <w:pPr>
        <w:pStyle w:val="101"/>
      </w:pPr>
      <w:r>
        <w:rPr>
          <w:rFonts w:hint="eastAsia"/>
        </w:rPr>
        <w:t>无功控制</w:t>
      </w:r>
    </w:p>
    <w:p w14:paraId="3FBEEBAA">
      <w:pPr>
        <w:pStyle w:val="64"/>
      </w:pPr>
      <w:r>
        <w:rPr>
          <w:rFonts w:hint="eastAsia"/>
        </w:rPr>
        <w:t>无功控制功能应满足下列要求：</w:t>
      </w:r>
    </w:p>
    <w:p w14:paraId="1A63B43F">
      <w:pPr>
        <w:pStyle w:val="180"/>
        <w:numPr>
          <w:ilvl w:val="0"/>
          <w:numId w:val="46"/>
        </w:numPr>
      </w:pPr>
      <w:r>
        <w:rPr>
          <w:rFonts w:hint="eastAsia"/>
        </w:rPr>
        <w:t>A类固态变压器应具有多种无功控制模式，包括电压/无功控制、恒功率因数控制和恒无功功率控制等，具备接受功率控制系统指令并控制输出无功功率的能力，具备多种控制模式在线切换的能力。固态变压器无功功率控制误差不应大于固态变压器额定有功功率的1%，响应时间不应大于1</w:t>
      </w:r>
      <w:r>
        <w:rPr>
          <w:rFonts w:ascii="Times New Roman"/>
        </w:rPr>
        <w:t xml:space="preserve"> </w:t>
      </w:r>
      <w:r>
        <w:rPr>
          <w:rFonts w:hint="eastAsia"/>
        </w:rPr>
        <w:t>s；</w:t>
      </w:r>
    </w:p>
    <w:p w14:paraId="7E06A668">
      <w:pPr>
        <w:pStyle w:val="180"/>
        <w:numPr>
          <w:ilvl w:val="0"/>
          <w:numId w:val="46"/>
        </w:numPr>
      </w:pPr>
      <w:r>
        <w:rPr>
          <w:rFonts w:hint="eastAsia"/>
        </w:rPr>
        <w:t>B类固态变压器宜与A类光伏固态变压器的要求相同。</w:t>
      </w:r>
    </w:p>
    <w:p w14:paraId="602AD598">
      <w:pPr>
        <w:pStyle w:val="73"/>
        <w:spacing w:before="120" w:after="120"/>
        <w:ind w:left="0" w:leftChars="0" w:firstLineChars="0"/>
      </w:pPr>
      <w:bookmarkStart w:id="106" w:name="_Toc214620384"/>
      <w:r>
        <w:rPr>
          <w:rFonts w:hint="eastAsia"/>
        </w:rPr>
        <w:t>电能质量</w:t>
      </w:r>
      <w:bookmarkEnd w:id="106"/>
    </w:p>
    <w:p w14:paraId="6651251F">
      <w:pPr>
        <w:pStyle w:val="101"/>
      </w:pPr>
      <w:r>
        <w:rPr>
          <w:rFonts w:hint="eastAsia"/>
        </w:rPr>
        <w:t>三相电流不平衡度</w:t>
      </w:r>
    </w:p>
    <w:p w14:paraId="520A0E99">
      <w:pPr>
        <w:pStyle w:val="64"/>
      </w:pPr>
      <w:r>
        <w:rPr>
          <w:rFonts w:hint="eastAsia"/>
        </w:rPr>
        <w:t>固态变压器负序三相电流不平度不应超过2%，短时不应超过4%。</w:t>
      </w:r>
    </w:p>
    <w:p w14:paraId="66DED27B">
      <w:pPr>
        <w:pStyle w:val="101"/>
      </w:pPr>
      <w:r>
        <w:rPr>
          <w:rFonts w:hint="eastAsia"/>
        </w:rPr>
        <w:t>电流谐波</w:t>
      </w:r>
    </w:p>
    <w:p w14:paraId="0D3D9CCB">
      <w:pPr>
        <w:pStyle w:val="64"/>
      </w:pPr>
      <w:r>
        <w:rPr>
          <w:rFonts w:hint="eastAsia"/>
        </w:rPr>
        <w:t>固态变压器输出电流谐波总畸变率应不大于5%In，各次谐波限值应满足表</w:t>
      </w:r>
      <w:r>
        <w:rPr>
          <w:rFonts w:hint="eastAsia"/>
          <w:lang w:val="en-US" w:eastAsia="zh-CN"/>
        </w:rPr>
        <w:t>3</w:t>
      </w:r>
      <w:r>
        <w:rPr>
          <w:rFonts w:hint="eastAsia"/>
        </w:rPr>
        <w:t>的要求，注入谐波电流不应包括任何由未连接光伏系统的电网上的谐波电压畸变引起的谐波电流。</w:t>
      </w:r>
    </w:p>
    <w:p w14:paraId="0FB4BEA3">
      <w:pPr>
        <w:pStyle w:val="118"/>
      </w:pPr>
      <w:r>
        <w:rPr>
          <w:rFonts w:hint="eastAsia"/>
        </w:rPr>
        <w:t>电流谐波限值</w:t>
      </w:r>
    </w:p>
    <w:tbl>
      <w:tblPr>
        <w:tblStyle w:val="29"/>
        <w:tblW w:w="4608" w:type="pct"/>
        <w:tblInd w:w="745" w:type="dxa"/>
        <w:tblLayout w:type="autofit"/>
        <w:tblCellMar>
          <w:top w:w="0" w:type="dxa"/>
          <w:left w:w="108" w:type="dxa"/>
          <w:bottom w:w="0" w:type="dxa"/>
          <w:right w:w="108" w:type="dxa"/>
        </w:tblCellMar>
      </w:tblPr>
      <w:tblGrid>
        <w:gridCol w:w="2031"/>
        <w:gridCol w:w="2002"/>
        <w:gridCol w:w="1964"/>
        <w:gridCol w:w="2824"/>
      </w:tblGrid>
      <w:tr w14:paraId="439C237F">
        <w:tblPrEx>
          <w:tblCellMar>
            <w:top w:w="0" w:type="dxa"/>
            <w:left w:w="108" w:type="dxa"/>
            <w:bottom w:w="0" w:type="dxa"/>
            <w:right w:w="108" w:type="dxa"/>
          </w:tblCellMar>
        </w:tblPrEx>
        <w:trPr>
          <w:trHeight w:val="20" w:hRule="atLeast"/>
        </w:trPr>
        <w:tc>
          <w:tcPr>
            <w:tcW w:w="1151" w:type="pct"/>
            <w:tcBorders>
              <w:top w:val="single" w:color="000000" w:sz="4" w:space="0"/>
              <w:left w:val="single" w:color="000000" w:sz="4" w:space="0"/>
              <w:bottom w:val="single" w:color="000000" w:sz="4" w:space="0"/>
              <w:right w:val="single" w:color="000000" w:sz="4" w:space="0"/>
            </w:tcBorders>
            <w:vAlign w:val="center"/>
          </w:tcPr>
          <w:p w14:paraId="2402311C">
            <w:pPr>
              <w:pStyle w:val="184"/>
            </w:pPr>
            <w:r>
              <w:rPr>
                <w:rFonts w:hint="eastAsia"/>
              </w:rPr>
              <w:t>奇次谐波次数</w:t>
            </w:r>
          </w:p>
        </w:tc>
        <w:tc>
          <w:tcPr>
            <w:tcW w:w="1135" w:type="pct"/>
            <w:tcBorders>
              <w:top w:val="single" w:color="000000" w:sz="4" w:space="0"/>
              <w:left w:val="single" w:color="000000" w:sz="4" w:space="0"/>
              <w:bottom w:val="single" w:color="000000" w:sz="4" w:space="0"/>
              <w:right w:val="single" w:color="000000" w:sz="4" w:space="0"/>
            </w:tcBorders>
            <w:vAlign w:val="center"/>
          </w:tcPr>
          <w:p w14:paraId="0322B400">
            <w:pPr>
              <w:pStyle w:val="184"/>
            </w:pPr>
            <w:r>
              <w:rPr>
                <w:rFonts w:hint="eastAsia"/>
              </w:rPr>
              <w:t>谐波限值</w:t>
            </w:r>
          </w:p>
        </w:tc>
        <w:tc>
          <w:tcPr>
            <w:tcW w:w="1113" w:type="pct"/>
            <w:tcBorders>
              <w:top w:val="single" w:color="000000" w:sz="4" w:space="0"/>
              <w:left w:val="single" w:color="000000" w:sz="4" w:space="0"/>
              <w:bottom w:val="single" w:color="000000" w:sz="4" w:space="0"/>
              <w:right w:val="single" w:color="000000" w:sz="4" w:space="0"/>
            </w:tcBorders>
            <w:vAlign w:val="center"/>
          </w:tcPr>
          <w:p w14:paraId="656019A6">
            <w:pPr>
              <w:pStyle w:val="184"/>
            </w:pPr>
            <w:r>
              <w:rPr>
                <w:rFonts w:hint="eastAsia"/>
              </w:rPr>
              <w:t>偶次谐波次数</w:t>
            </w:r>
          </w:p>
        </w:tc>
        <w:tc>
          <w:tcPr>
            <w:tcW w:w="1599" w:type="pct"/>
            <w:tcBorders>
              <w:top w:val="single" w:color="000000" w:sz="4" w:space="0"/>
              <w:left w:val="single" w:color="000000" w:sz="4" w:space="0"/>
              <w:bottom w:val="single" w:color="000000" w:sz="4" w:space="0"/>
              <w:right w:val="single" w:color="000000" w:sz="4" w:space="0"/>
            </w:tcBorders>
            <w:vAlign w:val="center"/>
          </w:tcPr>
          <w:p w14:paraId="32C4D13F">
            <w:pPr>
              <w:pStyle w:val="184"/>
            </w:pPr>
            <w:r>
              <w:rPr>
                <w:rFonts w:hint="eastAsia"/>
              </w:rPr>
              <w:t>谐波限值</w:t>
            </w:r>
          </w:p>
        </w:tc>
      </w:tr>
      <w:tr w14:paraId="6C799375">
        <w:tblPrEx>
          <w:tblCellMar>
            <w:top w:w="0" w:type="dxa"/>
            <w:left w:w="108" w:type="dxa"/>
            <w:bottom w:w="0" w:type="dxa"/>
            <w:right w:w="108" w:type="dxa"/>
          </w:tblCellMar>
        </w:tblPrEx>
        <w:trPr>
          <w:trHeight w:val="20" w:hRule="atLeast"/>
        </w:trPr>
        <w:tc>
          <w:tcPr>
            <w:tcW w:w="1151" w:type="pct"/>
            <w:tcBorders>
              <w:top w:val="single" w:color="000000" w:sz="4" w:space="0"/>
              <w:left w:val="single" w:color="000000" w:sz="4" w:space="0"/>
              <w:bottom w:val="single" w:color="000000" w:sz="4" w:space="0"/>
              <w:right w:val="single" w:color="000000" w:sz="4" w:space="0"/>
            </w:tcBorders>
            <w:vAlign w:val="center"/>
          </w:tcPr>
          <w:p w14:paraId="580A8F29">
            <w:pPr>
              <w:pStyle w:val="184"/>
            </w:pPr>
            <w:r>
              <w:rPr>
                <w:rFonts w:hint="eastAsia"/>
              </w:rPr>
              <w:t>3th～9th</w:t>
            </w:r>
          </w:p>
        </w:tc>
        <w:tc>
          <w:tcPr>
            <w:tcW w:w="1135" w:type="pct"/>
            <w:tcBorders>
              <w:top w:val="single" w:color="000000" w:sz="4" w:space="0"/>
              <w:left w:val="single" w:color="000000" w:sz="4" w:space="0"/>
              <w:bottom w:val="single" w:color="000000" w:sz="4" w:space="0"/>
              <w:right w:val="single" w:color="000000" w:sz="4" w:space="0"/>
            </w:tcBorders>
            <w:vAlign w:val="center"/>
          </w:tcPr>
          <w:p w14:paraId="2822F170">
            <w:pPr>
              <w:pStyle w:val="184"/>
            </w:pPr>
            <w:r>
              <w:rPr>
                <w:rFonts w:hint="eastAsia"/>
              </w:rPr>
              <w:t>4%In</w:t>
            </w:r>
          </w:p>
        </w:tc>
        <w:tc>
          <w:tcPr>
            <w:tcW w:w="1113" w:type="pct"/>
            <w:tcBorders>
              <w:top w:val="single" w:color="000000" w:sz="4" w:space="0"/>
              <w:left w:val="single" w:color="000000" w:sz="4" w:space="0"/>
              <w:bottom w:val="single" w:color="000000" w:sz="4" w:space="0"/>
              <w:right w:val="single" w:color="000000" w:sz="4" w:space="0"/>
            </w:tcBorders>
            <w:vAlign w:val="center"/>
          </w:tcPr>
          <w:p w14:paraId="5F950B7C">
            <w:pPr>
              <w:pStyle w:val="184"/>
            </w:pPr>
            <w:r>
              <w:rPr>
                <w:rFonts w:hint="eastAsia"/>
              </w:rPr>
              <w:t>2th～10h</w:t>
            </w:r>
          </w:p>
        </w:tc>
        <w:tc>
          <w:tcPr>
            <w:tcW w:w="1599" w:type="pct"/>
            <w:tcBorders>
              <w:top w:val="single" w:color="000000" w:sz="4" w:space="0"/>
              <w:left w:val="single" w:color="000000" w:sz="4" w:space="0"/>
              <w:bottom w:val="single" w:color="000000" w:sz="4" w:space="0"/>
              <w:right w:val="single" w:color="000000" w:sz="4" w:space="0"/>
            </w:tcBorders>
            <w:vAlign w:val="center"/>
          </w:tcPr>
          <w:p w14:paraId="73E67DEB">
            <w:pPr>
              <w:pStyle w:val="184"/>
            </w:pPr>
            <w:r>
              <w:rPr>
                <w:rFonts w:hint="eastAsia"/>
              </w:rPr>
              <w:t>1%In</w:t>
            </w:r>
          </w:p>
        </w:tc>
      </w:tr>
      <w:tr w14:paraId="183024BF">
        <w:tblPrEx>
          <w:tblCellMar>
            <w:top w:w="0" w:type="dxa"/>
            <w:left w:w="108" w:type="dxa"/>
            <w:bottom w:w="0" w:type="dxa"/>
            <w:right w:w="108" w:type="dxa"/>
          </w:tblCellMar>
        </w:tblPrEx>
        <w:trPr>
          <w:trHeight w:val="20" w:hRule="atLeast"/>
        </w:trPr>
        <w:tc>
          <w:tcPr>
            <w:tcW w:w="1151" w:type="pct"/>
            <w:tcBorders>
              <w:top w:val="single" w:color="000000" w:sz="4" w:space="0"/>
              <w:left w:val="single" w:color="000000" w:sz="4" w:space="0"/>
              <w:bottom w:val="single" w:color="000000" w:sz="4" w:space="0"/>
              <w:right w:val="single" w:color="000000" w:sz="4" w:space="0"/>
            </w:tcBorders>
            <w:vAlign w:val="center"/>
          </w:tcPr>
          <w:p w14:paraId="0F1AEFB6">
            <w:pPr>
              <w:pStyle w:val="184"/>
            </w:pPr>
            <w:r>
              <w:rPr>
                <w:rFonts w:hint="eastAsia"/>
              </w:rPr>
              <w:t>11th～15th</w:t>
            </w:r>
          </w:p>
        </w:tc>
        <w:tc>
          <w:tcPr>
            <w:tcW w:w="1135" w:type="pct"/>
            <w:tcBorders>
              <w:top w:val="single" w:color="000000" w:sz="4" w:space="0"/>
              <w:left w:val="single" w:color="000000" w:sz="4" w:space="0"/>
              <w:bottom w:val="single" w:color="000000" w:sz="4" w:space="0"/>
              <w:right w:val="single" w:color="000000" w:sz="4" w:space="0"/>
            </w:tcBorders>
            <w:vAlign w:val="center"/>
          </w:tcPr>
          <w:p w14:paraId="176AC481">
            <w:pPr>
              <w:pStyle w:val="184"/>
            </w:pPr>
            <w:r>
              <w:rPr>
                <w:rFonts w:hint="eastAsia"/>
              </w:rPr>
              <w:t>2%In</w:t>
            </w:r>
          </w:p>
        </w:tc>
        <w:tc>
          <w:tcPr>
            <w:tcW w:w="1113" w:type="pct"/>
            <w:tcBorders>
              <w:top w:val="single" w:color="000000" w:sz="4" w:space="0"/>
              <w:left w:val="single" w:color="000000" w:sz="4" w:space="0"/>
              <w:bottom w:val="single" w:color="000000" w:sz="4" w:space="0"/>
              <w:right w:val="single" w:color="000000" w:sz="4" w:space="0"/>
            </w:tcBorders>
            <w:vAlign w:val="center"/>
          </w:tcPr>
          <w:p w14:paraId="760142DB">
            <w:pPr>
              <w:pStyle w:val="184"/>
            </w:pPr>
            <w:r>
              <w:rPr>
                <w:rFonts w:hint="eastAsia"/>
              </w:rPr>
              <w:t>12th～16h</w:t>
            </w:r>
          </w:p>
        </w:tc>
        <w:tc>
          <w:tcPr>
            <w:tcW w:w="1599" w:type="pct"/>
            <w:tcBorders>
              <w:top w:val="single" w:color="000000" w:sz="4" w:space="0"/>
              <w:left w:val="single" w:color="000000" w:sz="4" w:space="0"/>
              <w:bottom w:val="single" w:color="000000" w:sz="4" w:space="0"/>
              <w:right w:val="single" w:color="000000" w:sz="4" w:space="0"/>
            </w:tcBorders>
            <w:vAlign w:val="center"/>
          </w:tcPr>
          <w:p w14:paraId="296EBC07">
            <w:pPr>
              <w:pStyle w:val="184"/>
            </w:pPr>
            <w:r>
              <w:rPr>
                <w:rFonts w:hint="eastAsia"/>
              </w:rPr>
              <w:t>0.5%In</w:t>
            </w:r>
          </w:p>
        </w:tc>
      </w:tr>
      <w:tr w14:paraId="4EE300C2">
        <w:tblPrEx>
          <w:tblCellMar>
            <w:top w:w="0" w:type="dxa"/>
            <w:left w:w="108" w:type="dxa"/>
            <w:bottom w:w="0" w:type="dxa"/>
            <w:right w:w="108" w:type="dxa"/>
          </w:tblCellMar>
        </w:tblPrEx>
        <w:trPr>
          <w:trHeight w:val="20" w:hRule="atLeast"/>
        </w:trPr>
        <w:tc>
          <w:tcPr>
            <w:tcW w:w="1151" w:type="pct"/>
            <w:tcBorders>
              <w:top w:val="single" w:color="000000" w:sz="4" w:space="0"/>
              <w:left w:val="single" w:color="000000" w:sz="4" w:space="0"/>
              <w:bottom w:val="single" w:color="000000" w:sz="4" w:space="0"/>
              <w:right w:val="single" w:color="000000" w:sz="4" w:space="0"/>
            </w:tcBorders>
            <w:vAlign w:val="center"/>
          </w:tcPr>
          <w:p w14:paraId="09FE82D0">
            <w:pPr>
              <w:pStyle w:val="184"/>
            </w:pPr>
            <w:r>
              <w:rPr>
                <w:rFonts w:hint="eastAsia"/>
              </w:rPr>
              <w:t>17th～21th</w:t>
            </w:r>
          </w:p>
        </w:tc>
        <w:tc>
          <w:tcPr>
            <w:tcW w:w="1135" w:type="pct"/>
            <w:tcBorders>
              <w:top w:val="single" w:color="000000" w:sz="4" w:space="0"/>
              <w:left w:val="single" w:color="000000" w:sz="4" w:space="0"/>
              <w:bottom w:val="single" w:color="000000" w:sz="4" w:space="0"/>
              <w:right w:val="single" w:color="000000" w:sz="4" w:space="0"/>
            </w:tcBorders>
            <w:vAlign w:val="center"/>
          </w:tcPr>
          <w:p w14:paraId="03ED2DB9">
            <w:pPr>
              <w:pStyle w:val="184"/>
            </w:pPr>
            <w:r>
              <w:rPr>
                <w:rFonts w:hint="eastAsia"/>
              </w:rPr>
              <w:t>1.5%In</w:t>
            </w:r>
          </w:p>
        </w:tc>
        <w:tc>
          <w:tcPr>
            <w:tcW w:w="1113" w:type="pct"/>
            <w:tcBorders>
              <w:top w:val="single" w:color="000000" w:sz="4" w:space="0"/>
              <w:left w:val="single" w:color="000000" w:sz="4" w:space="0"/>
              <w:bottom w:val="single" w:color="000000" w:sz="4" w:space="0"/>
              <w:right w:val="single" w:color="000000" w:sz="4" w:space="0"/>
            </w:tcBorders>
            <w:vAlign w:val="center"/>
          </w:tcPr>
          <w:p w14:paraId="3CFFC29C">
            <w:pPr>
              <w:pStyle w:val="184"/>
            </w:pPr>
            <w:r>
              <w:rPr>
                <w:rFonts w:hint="eastAsia"/>
              </w:rPr>
              <w:t>18th～22th</w:t>
            </w:r>
          </w:p>
        </w:tc>
        <w:tc>
          <w:tcPr>
            <w:tcW w:w="1599" w:type="pct"/>
            <w:tcBorders>
              <w:top w:val="single" w:color="000000" w:sz="4" w:space="0"/>
              <w:left w:val="single" w:color="000000" w:sz="4" w:space="0"/>
              <w:bottom w:val="single" w:color="000000" w:sz="4" w:space="0"/>
              <w:right w:val="single" w:color="000000" w:sz="4" w:space="0"/>
            </w:tcBorders>
            <w:vAlign w:val="center"/>
          </w:tcPr>
          <w:p w14:paraId="3AD9C18D">
            <w:pPr>
              <w:pStyle w:val="184"/>
            </w:pPr>
            <w:r>
              <w:rPr>
                <w:rFonts w:hint="eastAsia"/>
              </w:rPr>
              <w:t>0.375%In</w:t>
            </w:r>
          </w:p>
        </w:tc>
      </w:tr>
      <w:tr w14:paraId="7E7687B1">
        <w:tblPrEx>
          <w:tblCellMar>
            <w:top w:w="0" w:type="dxa"/>
            <w:left w:w="108" w:type="dxa"/>
            <w:bottom w:w="0" w:type="dxa"/>
            <w:right w:w="108" w:type="dxa"/>
          </w:tblCellMar>
        </w:tblPrEx>
        <w:trPr>
          <w:trHeight w:val="20" w:hRule="atLeast"/>
        </w:trPr>
        <w:tc>
          <w:tcPr>
            <w:tcW w:w="1151" w:type="pct"/>
            <w:tcBorders>
              <w:top w:val="single" w:color="000000" w:sz="4" w:space="0"/>
              <w:left w:val="single" w:color="000000" w:sz="4" w:space="0"/>
              <w:bottom w:val="single" w:color="000000" w:sz="4" w:space="0"/>
              <w:right w:val="single" w:color="000000" w:sz="4" w:space="0"/>
            </w:tcBorders>
            <w:vAlign w:val="center"/>
          </w:tcPr>
          <w:p w14:paraId="75A0F7B4">
            <w:pPr>
              <w:pStyle w:val="184"/>
            </w:pPr>
            <w:r>
              <w:rPr>
                <w:rFonts w:hint="eastAsia"/>
              </w:rPr>
              <w:t>23th～33th</w:t>
            </w:r>
          </w:p>
        </w:tc>
        <w:tc>
          <w:tcPr>
            <w:tcW w:w="1135" w:type="pct"/>
            <w:tcBorders>
              <w:top w:val="single" w:color="000000" w:sz="4" w:space="0"/>
              <w:left w:val="single" w:color="000000" w:sz="4" w:space="0"/>
              <w:bottom w:val="single" w:color="000000" w:sz="4" w:space="0"/>
              <w:right w:val="single" w:color="000000" w:sz="4" w:space="0"/>
            </w:tcBorders>
            <w:vAlign w:val="center"/>
          </w:tcPr>
          <w:p w14:paraId="3B4B9D71">
            <w:pPr>
              <w:pStyle w:val="184"/>
            </w:pPr>
            <w:r>
              <w:rPr>
                <w:rFonts w:hint="eastAsia"/>
              </w:rPr>
              <w:t>0.6%In</w:t>
            </w:r>
          </w:p>
        </w:tc>
        <w:tc>
          <w:tcPr>
            <w:tcW w:w="1113" w:type="pct"/>
            <w:tcBorders>
              <w:top w:val="single" w:color="000000" w:sz="4" w:space="0"/>
              <w:left w:val="single" w:color="000000" w:sz="4" w:space="0"/>
              <w:bottom w:val="single" w:color="000000" w:sz="4" w:space="0"/>
              <w:right w:val="single" w:color="000000" w:sz="4" w:space="0"/>
            </w:tcBorders>
            <w:vAlign w:val="center"/>
          </w:tcPr>
          <w:p w14:paraId="5EE3C500">
            <w:pPr>
              <w:pStyle w:val="184"/>
            </w:pPr>
            <w:r>
              <w:rPr>
                <w:rFonts w:hint="eastAsia"/>
              </w:rPr>
              <w:t>24th～34th</w:t>
            </w:r>
          </w:p>
        </w:tc>
        <w:tc>
          <w:tcPr>
            <w:tcW w:w="1599" w:type="pct"/>
            <w:tcBorders>
              <w:top w:val="single" w:color="000000" w:sz="4" w:space="0"/>
              <w:left w:val="single" w:color="000000" w:sz="4" w:space="0"/>
              <w:bottom w:val="single" w:color="000000" w:sz="4" w:space="0"/>
              <w:right w:val="single" w:color="000000" w:sz="4" w:space="0"/>
            </w:tcBorders>
            <w:vAlign w:val="center"/>
          </w:tcPr>
          <w:p w14:paraId="63097FBE">
            <w:pPr>
              <w:pStyle w:val="184"/>
            </w:pPr>
            <w:r>
              <w:rPr>
                <w:rFonts w:hint="eastAsia"/>
              </w:rPr>
              <w:t>0.15%In</w:t>
            </w:r>
          </w:p>
        </w:tc>
      </w:tr>
      <w:tr w14:paraId="77DD9268">
        <w:tblPrEx>
          <w:tblCellMar>
            <w:top w:w="0" w:type="dxa"/>
            <w:left w:w="108" w:type="dxa"/>
            <w:bottom w:w="0" w:type="dxa"/>
            <w:right w:w="108" w:type="dxa"/>
          </w:tblCellMar>
        </w:tblPrEx>
        <w:trPr>
          <w:trHeight w:val="20" w:hRule="atLeast"/>
        </w:trPr>
        <w:tc>
          <w:tcPr>
            <w:tcW w:w="1151" w:type="pct"/>
            <w:tcBorders>
              <w:top w:val="single" w:color="000000" w:sz="4" w:space="0"/>
              <w:left w:val="single" w:color="000000" w:sz="4" w:space="0"/>
              <w:bottom w:val="single" w:color="000000" w:sz="4" w:space="0"/>
              <w:right w:val="single" w:color="000000" w:sz="4" w:space="0"/>
            </w:tcBorders>
            <w:vAlign w:val="center"/>
          </w:tcPr>
          <w:p w14:paraId="2440922E">
            <w:pPr>
              <w:pStyle w:val="184"/>
            </w:pPr>
            <w:r>
              <w:rPr>
                <w:rFonts w:hint="eastAsia"/>
              </w:rPr>
              <w:t>35ᵗh以上</w:t>
            </w:r>
          </w:p>
        </w:tc>
        <w:tc>
          <w:tcPr>
            <w:tcW w:w="1135" w:type="pct"/>
            <w:tcBorders>
              <w:top w:val="single" w:color="000000" w:sz="4" w:space="0"/>
              <w:left w:val="single" w:color="000000" w:sz="4" w:space="0"/>
              <w:bottom w:val="single" w:color="000000" w:sz="4" w:space="0"/>
              <w:right w:val="single" w:color="000000" w:sz="4" w:space="0"/>
            </w:tcBorders>
            <w:vAlign w:val="center"/>
          </w:tcPr>
          <w:p w14:paraId="5C34B25F">
            <w:pPr>
              <w:pStyle w:val="184"/>
            </w:pPr>
            <w:r>
              <w:rPr>
                <w:rFonts w:hint="eastAsia"/>
              </w:rPr>
              <w:t>0.3%In</w:t>
            </w:r>
          </w:p>
        </w:tc>
        <w:tc>
          <w:tcPr>
            <w:tcW w:w="1113" w:type="pct"/>
            <w:tcBorders>
              <w:top w:val="single" w:color="000000" w:sz="4" w:space="0"/>
              <w:left w:val="single" w:color="000000" w:sz="4" w:space="0"/>
              <w:bottom w:val="single" w:color="000000" w:sz="4" w:space="0"/>
              <w:right w:val="single" w:color="000000" w:sz="4" w:space="0"/>
            </w:tcBorders>
            <w:vAlign w:val="center"/>
          </w:tcPr>
          <w:p w14:paraId="6CABC12C">
            <w:pPr>
              <w:pStyle w:val="184"/>
            </w:pPr>
            <w:r>
              <w:rPr>
                <w:rFonts w:hint="eastAsia"/>
              </w:rPr>
              <w:t>36ᵗh以上</w:t>
            </w:r>
          </w:p>
        </w:tc>
        <w:tc>
          <w:tcPr>
            <w:tcW w:w="1599" w:type="pct"/>
            <w:tcBorders>
              <w:top w:val="single" w:color="000000" w:sz="4" w:space="0"/>
              <w:left w:val="single" w:color="000000" w:sz="4" w:space="0"/>
              <w:bottom w:val="single" w:color="000000" w:sz="4" w:space="0"/>
              <w:right w:val="single" w:color="000000" w:sz="4" w:space="0"/>
            </w:tcBorders>
            <w:vAlign w:val="center"/>
          </w:tcPr>
          <w:p w14:paraId="141EACF3">
            <w:pPr>
              <w:pStyle w:val="184"/>
            </w:pPr>
            <w:r>
              <w:rPr>
                <w:rFonts w:hint="eastAsia"/>
              </w:rPr>
              <w:t>0.075%In</w:t>
            </w:r>
          </w:p>
        </w:tc>
      </w:tr>
      <w:tr w14:paraId="52603920">
        <w:tblPrEx>
          <w:tblCellMar>
            <w:top w:w="0" w:type="dxa"/>
            <w:left w:w="108" w:type="dxa"/>
            <w:bottom w:w="0" w:type="dxa"/>
            <w:right w:w="108" w:type="dxa"/>
          </w:tblCellMar>
        </w:tblPrEx>
        <w:trPr>
          <w:trHeight w:val="20" w:hRule="atLeast"/>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0A469F76">
            <w:pPr>
              <w:pStyle w:val="185"/>
            </w:pPr>
            <w:r>
              <w:rPr>
                <w:rFonts w:hint="eastAsia"/>
              </w:rPr>
              <w:t>In为固态变压器交流侧额定电流。</w:t>
            </w:r>
          </w:p>
        </w:tc>
      </w:tr>
    </w:tbl>
    <w:p w14:paraId="507C507F">
      <w:pPr>
        <w:pStyle w:val="101"/>
      </w:pPr>
      <w:r>
        <w:rPr>
          <w:rFonts w:hint="eastAsia"/>
        </w:rPr>
        <w:t>电压波动与闪变</w:t>
      </w:r>
    </w:p>
    <w:p w14:paraId="4C290A1A">
      <w:pPr>
        <w:pStyle w:val="64"/>
      </w:pPr>
      <w:r>
        <w:rPr>
          <w:rFonts w:hint="eastAsia"/>
        </w:rPr>
        <w:t>固态变压器接入电网引起的电压波动与闪变值应满足GB/T 12326的要求。</w:t>
      </w:r>
    </w:p>
    <w:p w14:paraId="5D756BD9">
      <w:pPr>
        <w:pStyle w:val="101"/>
      </w:pPr>
      <w:r>
        <w:rPr>
          <w:rFonts w:hint="eastAsia"/>
        </w:rPr>
        <w:t>直流分量</w:t>
      </w:r>
    </w:p>
    <w:p w14:paraId="7CB74CF4">
      <w:pPr>
        <w:pStyle w:val="64"/>
      </w:pPr>
      <w:r>
        <w:rPr>
          <w:rFonts w:hint="eastAsia"/>
        </w:rPr>
        <w:t>固态变压器交流侧输出电流的直流电流分量不应超过其交流电流额定值的0.5%。</w:t>
      </w:r>
    </w:p>
    <w:p w14:paraId="1F1026C7">
      <w:pPr>
        <w:pStyle w:val="73"/>
        <w:spacing w:before="120" w:after="120"/>
        <w:ind w:left="0" w:leftChars="0" w:firstLineChars="0"/>
      </w:pPr>
      <w:bookmarkStart w:id="107" w:name="_Toc214620385"/>
      <w:r>
        <w:rPr>
          <w:rFonts w:hint="eastAsia"/>
        </w:rPr>
        <w:t>故障穿越</w:t>
      </w:r>
      <w:bookmarkEnd w:id="107"/>
    </w:p>
    <w:p w14:paraId="49AC56C4">
      <w:pPr>
        <w:pStyle w:val="101"/>
      </w:pPr>
      <w:r>
        <w:rPr>
          <w:rFonts w:hint="eastAsia"/>
        </w:rPr>
        <w:t>基本要求</w:t>
      </w:r>
    </w:p>
    <w:p w14:paraId="73897910">
      <w:pPr>
        <w:pStyle w:val="64"/>
      </w:pPr>
      <w:r>
        <w:rPr>
          <w:rFonts w:hint="eastAsia"/>
        </w:rPr>
        <w:t>固态变压器应具备低电压穿越能力和高电压穿越能力。</w:t>
      </w:r>
    </w:p>
    <w:p w14:paraId="7BF64F2C">
      <w:pPr>
        <w:pStyle w:val="101"/>
      </w:pPr>
      <w:r>
        <w:rPr>
          <w:rFonts w:hint="eastAsia"/>
        </w:rPr>
        <w:t>考核曲线</w:t>
      </w:r>
    </w:p>
    <w:p w14:paraId="33484EA2">
      <w:pPr>
        <w:pStyle w:val="64"/>
      </w:pPr>
      <w:r>
        <w:rPr>
          <w:rFonts w:hint="eastAsia"/>
        </w:rPr>
        <w:t>低电压穿越的考核曲线如图2所示。</w:t>
      </w:r>
    </w:p>
    <w:p w14:paraId="0FE106C2">
      <w:pPr>
        <w:pStyle w:val="64"/>
        <w:jc w:val="center"/>
      </w:pPr>
      <w:r>
        <w:drawing>
          <wp:inline distT="0" distB="0" distL="114300" distR="114300">
            <wp:extent cx="4897755" cy="2607945"/>
            <wp:effectExtent l="0" t="0" r="17145" b="1905"/>
            <wp:docPr id="11658676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67689" name="图片 3"/>
                    <pic:cNvPicPr>
                      <a:picLocks noChangeAspect="1"/>
                    </pic:cNvPicPr>
                  </pic:nvPicPr>
                  <pic:blipFill>
                    <a:blip r:embed="rId23"/>
                    <a:stretch>
                      <a:fillRect/>
                    </a:stretch>
                  </pic:blipFill>
                  <pic:spPr>
                    <a:xfrm>
                      <a:off x="0" y="0"/>
                      <a:ext cx="4897755" cy="2607945"/>
                    </a:xfrm>
                    <a:prstGeom prst="rect">
                      <a:avLst/>
                    </a:prstGeom>
                    <a:noFill/>
                    <a:ln>
                      <a:noFill/>
                    </a:ln>
                  </pic:spPr>
                </pic:pic>
              </a:graphicData>
            </a:graphic>
          </wp:inline>
        </w:drawing>
      </w:r>
    </w:p>
    <w:p w14:paraId="46CD0410">
      <w:pPr>
        <w:pStyle w:val="120"/>
        <w:spacing w:before="120" w:after="120"/>
      </w:pPr>
      <w:r>
        <w:rPr>
          <w:rFonts w:hint="eastAsia"/>
        </w:rPr>
        <w:t>固态变压器低电压穿越能力要求</w:t>
      </w:r>
    </w:p>
    <w:p w14:paraId="4221AD82">
      <w:pPr>
        <w:pStyle w:val="64"/>
      </w:pPr>
      <w:r>
        <w:rPr>
          <w:rFonts w:hint="eastAsia"/>
        </w:rPr>
        <w:t>高电压穿越的考核曲线如图3所示。</w:t>
      </w:r>
    </w:p>
    <w:p w14:paraId="210A29F2">
      <w:pPr>
        <w:pStyle w:val="64"/>
        <w:jc w:val="center"/>
      </w:pPr>
      <w:r>
        <w:drawing>
          <wp:inline distT="0" distB="0" distL="114300" distR="114300">
            <wp:extent cx="4973320" cy="1955165"/>
            <wp:effectExtent l="0" t="0" r="17780" b="6985"/>
            <wp:docPr id="14936058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05823" name="图片 4"/>
                    <pic:cNvPicPr>
                      <a:picLocks noChangeAspect="1"/>
                    </pic:cNvPicPr>
                  </pic:nvPicPr>
                  <pic:blipFill>
                    <a:blip r:embed="rId24"/>
                    <a:stretch>
                      <a:fillRect/>
                    </a:stretch>
                  </pic:blipFill>
                  <pic:spPr>
                    <a:xfrm>
                      <a:off x="0" y="0"/>
                      <a:ext cx="4973320" cy="1955165"/>
                    </a:xfrm>
                    <a:prstGeom prst="rect">
                      <a:avLst/>
                    </a:prstGeom>
                    <a:noFill/>
                    <a:ln>
                      <a:noFill/>
                    </a:ln>
                  </pic:spPr>
                </pic:pic>
              </a:graphicData>
            </a:graphic>
          </wp:inline>
        </w:drawing>
      </w:r>
    </w:p>
    <w:p w14:paraId="1DF7FAF7">
      <w:pPr>
        <w:pStyle w:val="120"/>
        <w:spacing w:before="120" w:after="120"/>
      </w:pPr>
      <w:r>
        <w:rPr>
          <w:rFonts w:hint="eastAsia"/>
        </w:rPr>
        <w:t>固态变压器高电压穿越能力要求</w:t>
      </w:r>
    </w:p>
    <w:p w14:paraId="4D63853C">
      <w:pPr>
        <w:pStyle w:val="101"/>
      </w:pPr>
      <w:r>
        <w:rPr>
          <w:rFonts w:hint="eastAsia"/>
        </w:rPr>
        <w:t>故障类型及考核电压</w:t>
      </w:r>
    </w:p>
    <w:p w14:paraId="7DFB2EC7">
      <w:pPr>
        <w:pStyle w:val="64"/>
      </w:pPr>
      <w:r>
        <w:rPr>
          <w:rFonts w:hint="eastAsia"/>
        </w:rPr>
        <w:t>低电压穿越针对不同故障类型的考核电压见表</w:t>
      </w:r>
      <w:r>
        <w:rPr>
          <w:rFonts w:hint="eastAsia"/>
          <w:lang w:val="en-US" w:eastAsia="zh-CN"/>
        </w:rPr>
        <w:t>4</w:t>
      </w:r>
      <w:r>
        <w:rPr>
          <w:rFonts w:hint="eastAsia"/>
        </w:rPr>
        <w:t>，高电压穿越仅考核三相对称工况。</w:t>
      </w:r>
    </w:p>
    <w:p w14:paraId="283E7C49">
      <w:pPr>
        <w:pStyle w:val="118"/>
      </w:pPr>
      <w:r>
        <w:rPr>
          <w:rFonts w:hint="eastAsia"/>
        </w:rPr>
        <w:t>低电压穿越考核电压</w:t>
      </w:r>
    </w:p>
    <w:tbl>
      <w:tblPr>
        <w:tblStyle w:val="29"/>
        <w:tblW w:w="3343" w:type="pct"/>
        <w:tblInd w:w="1299" w:type="dxa"/>
        <w:tblLayout w:type="autofit"/>
        <w:tblCellMar>
          <w:top w:w="0" w:type="dxa"/>
          <w:left w:w="108" w:type="dxa"/>
          <w:bottom w:w="0" w:type="dxa"/>
          <w:right w:w="108" w:type="dxa"/>
        </w:tblCellMar>
      </w:tblPr>
      <w:tblGrid>
        <w:gridCol w:w="3375"/>
        <w:gridCol w:w="3024"/>
      </w:tblGrid>
      <w:tr w14:paraId="551F0D08">
        <w:tblPrEx>
          <w:tblCellMar>
            <w:top w:w="0" w:type="dxa"/>
            <w:left w:w="108" w:type="dxa"/>
            <w:bottom w:w="0" w:type="dxa"/>
            <w:right w:w="108" w:type="dxa"/>
          </w:tblCellMar>
        </w:tblPrEx>
        <w:trPr>
          <w:trHeight w:val="20" w:hRule="atLeast"/>
        </w:trPr>
        <w:tc>
          <w:tcPr>
            <w:tcW w:w="2637" w:type="pct"/>
            <w:tcBorders>
              <w:top w:val="single" w:color="000000" w:sz="4" w:space="0"/>
              <w:left w:val="single" w:color="000000" w:sz="4" w:space="0"/>
              <w:bottom w:val="single" w:color="000000" w:sz="4" w:space="0"/>
              <w:right w:val="single" w:color="000000" w:sz="4" w:space="0"/>
            </w:tcBorders>
            <w:vAlign w:val="center"/>
          </w:tcPr>
          <w:p w14:paraId="0032B6E5">
            <w:pPr>
              <w:pStyle w:val="184"/>
            </w:pPr>
            <w:r>
              <w:t>故障类型</w:t>
            </w:r>
          </w:p>
        </w:tc>
        <w:tc>
          <w:tcPr>
            <w:tcW w:w="2362" w:type="pct"/>
            <w:tcBorders>
              <w:top w:val="single" w:color="000000" w:sz="4" w:space="0"/>
              <w:left w:val="single" w:color="000000" w:sz="4" w:space="0"/>
              <w:bottom w:val="single" w:color="000000" w:sz="4" w:space="0"/>
              <w:right w:val="single" w:color="000000" w:sz="4" w:space="0"/>
            </w:tcBorders>
            <w:vAlign w:val="center"/>
          </w:tcPr>
          <w:p w14:paraId="349F0F69">
            <w:pPr>
              <w:pStyle w:val="184"/>
            </w:pPr>
            <w:r>
              <w:t>考核电压</w:t>
            </w:r>
          </w:p>
        </w:tc>
      </w:tr>
      <w:tr w14:paraId="5D699E7A">
        <w:tblPrEx>
          <w:tblCellMar>
            <w:top w:w="0" w:type="dxa"/>
            <w:left w:w="108" w:type="dxa"/>
            <w:bottom w:w="0" w:type="dxa"/>
            <w:right w:w="108" w:type="dxa"/>
          </w:tblCellMar>
        </w:tblPrEx>
        <w:trPr>
          <w:trHeight w:val="20" w:hRule="atLeast"/>
        </w:trPr>
        <w:tc>
          <w:tcPr>
            <w:tcW w:w="2637" w:type="pct"/>
            <w:tcBorders>
              <w:top w:val="single" w:color="000000" w:sz="4" w:space="0"/>
              <w:left w:val="single" w:color="000000" w:sz="4" w:space="0"/>
              <w:bottom w:val="single" w:color="000000" w:sz="4" w:space="0"/>
              <w:right w:val="single" w:color="000000" w:sz="4" w:space="0"/>
            </w:tcBorders>
            <w:vAlign w:val="center"/>
          </w:tcPr>
          <w:p w14:paraId="2343C4A0">
            <w:pPr>
              <w:pStyle w:val="184"/>
            </w:pPr>
            <w:r>
              <w:t>三相对称短路故障</w:t>
            </w:r>
          </w:p>
        </w:tc>
        <w:tc>
          <w:tcPr>
            <w:tcW w:w="2362" w:type="pct"/>
            <w:tcBorders>
              <w:top w:val="single" w:color="000000" w:sz="4" w:space="0"/>
              <w:left w:val="single" w:color="000000" w:sz="4" w:space="0"/>
              <w:bottom w:val="single" w:color="000000" w:sz="4" w:space="0"/>
              <w:right w:val="single" w:color="000000" w:sz="4" w:space="0"/>
            </w:tcBorders>
            <w:vAlign w:val="center"/>
          </w:tcPr>
          <w:p w14:paraId="79DAE3FF">
            <w:pPr>
              <w:pStyle w:val="184"/>
            </w:pPr>
            <w:r>
              <w:t>交流侧线/相电压</w:t>
            </w:r>
          </w:p>
        </w:tc>
      </w:tr>
      <w:tr w14:paraId="4DB33303">
        <w:tblPrEx>
          <w:tblCellMar>
            <w:top w:w="0" w:type="dxa"/>
            <w:left w:w="108" w:type="dxa"/>
            <w:bottom w:w="0" w:type="dxa"/>
            <w:right w:w="108" w:type="dxa"/>
          </w:tblCellMar>
        </w:tblPrEx>
        <w:trPr>
          <w:trHeight w:val="20" w:hRule="atLeast"/>
        </w:trPr>
        <w:tc>
          <w:tcPr>
            <w:tcW w:w="2637" w:type="pct"/>
            <w:tcBorders>
              <w:top w:val="single" w:color="000000" w:sz="4" w:space="0"/>
              <w:left w:val="single" w:color="000000" w:sz="4" w:space="0"/>
              <w:bottom w:val="single" w:color="000000" w:sz="4" w:space="0"/>
              <w:right w:val="single" w:color="000000" w:sz="4" w:space="0"/>
            </w:tcBorders>
            <w:vAlign w:val="center"/>
          </w:tcPr>
          <w:p w14:paraId="37F19D71">
            <w:pPr>
              <w:pStyle w:val="184"/>
            </w:pPr>
            <w:r>
              <w:t>两相相间短路故障</w:t>
            </w:r>
          </w:p>
        </w:tc>
        <w:tc>
          <w:tcPr>
            <w:tcW w:w="2362" w:type="pct"/>
            <w:tcBorders>
              <w:top w:val="single" w:color="000000" w:sz="4" w:space="0"/>
              <w:left w:val="single" w:color="000000" w:sz="4" w:space="0"/>
              <w:bottom w:val="single" w:color="000000" w:sz="4" w:space="0"/>
              <w:right w:val="single" w:color="000000" w:sz="4" w:space="0"/>
            </w:tcBorders>
            <w:vAlign w:val="center"/>
          </w:tcPr>
          <w:p w14:paraId="4B31B9D6">
            <w:pPr>
              <w:pStyle w:val="184"/>
            </w:pPr>
            <w:r>
              <w:t>交流侧线电压</w:t>
            </w:r>
          </w:p>
        </w:tc>
      </w:tr>
      <w:tr w14:paraId="4E455877">
        <w:tblPrEx>
          <w:tblCellMar>
            <w:top w:w="0" w:type="dxa"/>
            <w:left w:w="108" w:type="dxa"/>
            <w:bottom w:w="0" w:type="dxa"/>
            <w:right w:w="108" w:type="dxa"/>
          </w:tblCellMar>
        </w:tblPrEx>
        <w:trPr>
          <w:trHeight w:val="20" w:hRule="atLeast"/>
        </w:trPr>
        <w:tc>
          <w:tcPr>
            <w:tcW w:w="2637" w:type="pct"/>
            <w:tcBorders>
              <w:top w:val="single" w:color="000000" w:sz="4" w:space="0"/>
              <w:left w:val="single" w:color="000000" w:sz="4" w:space="0"/>
              <w:bottom w:val="single" w:color="000000" w:sz="4" w:space="0"/>
              <w:right w:val="single" w:color="000000" w:sz="4" w:space="0"/>
            </w:tcBorders>
            <w:vAlign w:val="center"/>
          </w:tcPr>
          <w:p w14:paraId="6EB8E5FC">
            <w:pPr>
              <w:pStyle w:val="184"/>
            </w:pPr>
            <w:r>
              <w:t>两相接地短路故障</w:t>
            </w:r>
          </w:p>
        </w:tc>
        <w:tc>
          <w:tcPr>
            <w:tcW w:w="2362" w:type="pct"/>
            <w:tcBorders>
              <w:top w:val="single" w:color="000000" w:sz="4" w:space="0"/>
              <w:left w:val="single" w:color="000000" w:sz="4" w:space="0"/>
              <w:bottom w:val="single" w:color="000000" w:sz="4" w:space="0"/>
              <w:right w:val="single" w:color="000000" w:sz="4" w:space="0"/>
            </w:tcBorders>
            <w:vAlign w:val="center"/>
          </w:tcPr>
          <w:p w14:paraId="465BE3F7">
            <w:pPr>
              <w:pStyle w:val="184"/>
            </w:pPr>
            <w:r>
              <w:t>交流侧线/相电压</w:t>
            </w:r>
          </w:p>
        </w:tc>
      </w:tr>
      <w:tr w14:paraId="3F703CFF">
        <w:tblPrEx>
          <w:tblCellMar>
            <w:top w:w="0" w:type="dxa"/>
            <w:left w:w="108" w:type="dxa"/>
            <w:bottom w:w="0" w:type="dxa"/>
            <w:right w:w="108" w:type="dxa"/>
          </w:tblCellMar>
        </w:tblPrEx>
        <w:trPr>
          <w:trHeight w:val="20" w:hRule="atLeast"/>
        </w:trPr>
        <w:tc>
          <w:tcPr>
            <w:tcW w:w="2637" w:type="pct"/>
            <w:tcBorders>
              <w:top w:val="single" w:color="000000" w:sz="4" w:space="0"/>
              <w:left w:val="single" w:color="000000" w:sz="4" w:space="0"/>
              <w:bottom w:val="single" w:color="000000" w:sz="4" w:space="0"/>
              <w:right w:val="single" w:color="000000" w:sz="4" w:space="0"/>
            </w:tcBorders>
            <w:vAlign w:val="center"/>
          </w:tcPr>
          <w:p w14:paraId="555FAFFC">
            <w:pPr>
              <w:pStyle w:val="184"/>
            </w:pPr>
            <w:r>
              <w:t>单相接地短路故障</w:t>
            </w:r>
          </w:p>
        </w:tc>
        <w:tc>
          <w:tcPr>
            <w:tcW w:w="2362" w:type="pct"/>
            <w:tcBorders>
              <w:top w:val="single" w:color="000000" w:sz="4" w:space="0"/>
              <w:left w:val="single" w:color="000000" w:sz="4" w:space="0"/>
              <w:bottom w:val="single" w:color="000000" w:sz="4" w:space="0"/>
              <w:right w:val="single" w:color="000000" w:sz="4" w:space="0"/>
            </w:tcBorders>
            <w:vAlign w:val="center"/>
          </w:tcPr>
          <w:p w14:paraId="52EF3FD2">
            <w:pPr>
              <w:pStyle w:val="184"/>
            </w:pPr>
            <w:r>
              <w:t>交流侧相电压</w:t>
            </w:r>
          </w:p>
        </w:tc>
      </w:tr>
    </w:tbl>
    <w:p w14:paraId="4FE0D715">
      <w:pPr>
        <w:pStyle w:val="101"/>
      </w:pPr>
      <w:r>
        <w:rPr>
          <w:rFonts w:hint="eastAsia"/>
        </w:rPr>
        <w:t>有功功率</w:t>
      </w:r>
    </w:p>
    <w:p w14:paraId="7FA80F4D">
      <w:pPr>
        <w:pStyle w:val="64"/>
      </w:pPr>
      <w:r>
        <w:rPr>
          <w:rFonts w:hint="eastAsia"/>
        </w:rPr>
        <w:t>低电压穿越期间未脱网的固态变压器，自故障清除时刻开始，以至少30%额定功率/s的功率变化率平滑地恢复至故障前的值。故障期间有功功率变化值小于10%Pn时，可不控制有功功率恢复速度。</w:t>
      </w:r>
    </w:p>
    <w:p w14:paraId="6D5FF288">
      <w:pPr>
        <w:pStyle w:val="64"/>
      </w:pPr>
      <w:r>
        <w:rPr>
          <w:rFonts w:hint="eastAsia"/>
        </w:rPr>
        <w:t>高电压穿越期间未脱网的固态变压器，其电网故障期间输出的有功功率应保持与故障前输出的有功功率相同，允许误差不应超过10%</w:t>
      </w:r>
      <w:r>
        <w:rPr>
          <w:rFonts w:hint="eastAsia"/>
          <w:i/>
          <w:iCs/>
        </w:rPr>
        <w:t>P</w:t>
      </w:r>
      <w:r>
        <w:rPr>
          <w:rFonts w:hint="eastAsia"/>
          <w:i/>
          <w:iCs/>
          <w:vertAlign w:val="subscript"/>
        </w:rPr>
        <w:t>N</w:t>
      </w:r>
      <w:r>
        <w:rPr>
          <w:rFonts w:hint="eastAsia"/>
        </w:rPr>
        <w:t>。</w:t>
      </w:r>
    </w:p>
    <w:p w14:paraId="14E84B76">
      <w:pPr>
        <w:pStyle w:val="101"/>
      </w:pPr>
      <w:r>
        <w:rPr>
          <w:rFonts w:hint="eastAsia"/>
        </w:rPr>
        <w:t>动态无功能力</w:t>
      </w:r>
    </w:p>
    <w:p w14:paraId="2EA3B1AE">
      <w:pPr>
        <w:pStyle w:val="64"/>
      </w:pPr>
      <w:r>
        <w:rPr>
          <w:rFonts w:hint="eastAsia"/>
        </w:rPr>
        <w:t>故障期间固态变压器动态无功能力应满足下列要求：</w:t>
      </w:r>
    </w:p>
    <w:p w14:paraId="58E42272">
      <w:pPr>
        <w:pStyle w:val="180"/>
        <w:numPr>
          <w:ilvl w:val="0"/>
          <w:numId w:val="47"/>
        </w:numPr>
      </w:pPr>
      <w:r>
        <w:rPr>
          <w:rFonts w:hint="eastAsia"/>
        </w:rPr>
        <w:t>自固态变压器交流侧电压异常时刻起（Ur＜0.9或Ur＞1.1），动态无功电流的响应时间不大于60</w:t>
      </w:r>
      <w:r>
        <w:rPr>
          <w:rFonts w:ascii="Times New Roman"/>
        </w:rPr>
        <w:t xml:space="preserve"> </w:t>
      </w:r>
      <w:r>
        <w:rPr>
          <w:rFonts w:hint="eastAsia"/>
        </w:rPr>
        <w:t>ms,最大超调量不大于20%,调节时间不大于150</w:t>
      </w:r>
      <w:r>
        <w:rPr>
          <w:rFonts w:ascii="Times New Roman"/>
        </w:rPr>
        <w:t xml:space="preserve"> </w:t>
      </w:r>
      <w:r>
        <w:rPr>
          <w:rFonts w:hint="eastAsia"/>
        </w:rPr>
        <w:t>ms。</w:t>
      </w:r>
    </w:p>
    <w:p w14:paraId="430A5F22">
      <w:pPr>
        <w:pStyle w:val="180"/>
        <w:numPr>
          <w:ilvl w:val="0"/>
          <w:numId w:val="44"/>
        </w:numPr>
      </w:pPr>
      <w:r>
        <w:rPr>
          <w:rFonts w:hint="eastAsia"/>
        </w:rPr>
        <w:t>自动态无功电流响应起直到电压恢复至正常范围（0.9≤U</w:t>
      </w:r>
      <w:r>
        <w:rPr>
          <w:rFonts w:ascii="Cambria Math" w:hAnsi="Cambria Math" w:cs="Cambria Math"/>
        </w:rPr>
        <w:t>₁</w:t>
      </w:r>
      <w:r>
        <w:rPr>
          <w:rFonts w:hint="eastAsia" w:hAnsi="宋体" w:cs="宋体"/>
        </w:rPr>
        <w:t>≤</w:t>
      </w:r>
      <w:r>
        <w:rPr>
          <w:rFonts w:hint="eastAsia"/>
        </w:rPr>
        <w:t>1.1）期间，固态变压器输出的动态无功电流IT应实时跟踪并网点电压变化，并应满足式（2）：</w:t>
      </w:r>
    </w:p>
    <w:p w14:paraId="7FF06E85">
      <w:pPr>
        <w:pStyle w:val="64"/>
        <w:jc w:val="center"/>
      </w:pPr>
      <w:r>
        <w:drawing>
          <wp:inline distT="0" distB="0" distL="114300" distR="114300">
            <wp:extent cx="4027170" cy="473710"/>
            <wp:effectExtent l="0" t="0" r="11430" b="8890"/>
            <wp:docPr id="17209520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52096" name="图片 6"/>
                    <pic:cNvPicPr>
                      <a:picLocks noChangeAspect="1"/>
                    </pic:cNvPicPr>
                  </pic:nvPicPr>
                  <pic:blipFill>
                    <a:blip r:embed="rId25"/>
                    <a:stretch>
                      <a:fillRect/>
                    </a:stretch>
                  </pic:blipFill>
                  <pic:spPr>
                    <a:xfrm>
                      <a:off x="0" y="0"/>
                      <a:ext cx="4027170" cy="473710"/>
                    </a:xfrm>
                    <a:prstGeom prst="rect">
                      <a:avLst/>
                    </a:prstGeom>
                    <a:noFill/>
                    <a:ln>
                      <a:noFill/>
                    </a:ln>
                  </pic:spPr>
                </pic:pic>
              </a:graphicData>
            </a:graphic>
          </wp:inline>
        </w:drawing>
      </w:r>
    </w:p>
    <w:p w14:paraId="45CCD5FC">
      <w:pPr>
        <w:pStyle w:val="64"/>
      </w:pPr>
      <w:r>
        <w:rPr>
          <w:rFonts w:hint="eastAsia"/>
        </w:rPr>
        <w:t>式中：</w:t>
      </w:r>
    </w:p>
    <w:p w14:paraId="5E39ED27">
      <w:pPr>
        <w:pStyle w:val="64"/>
      </w:pPr>
      <w:r>
        <w:rPr>
          <w:rFonts w:hint="eastAsia"/>
        </w:rPr>
        <w:t>I</w:t>
      </w:r>
      <w:r>
        <w:rPr>
          <w:rFonts w:hint="eastAsia"/>
          <w:vertAlign w:val="subscript"/>
        </w:rPr>
        <w:t>T</w:t>
      </w:r>
      <w:r>
        <w:rPr>
          <w:rFonts w:ascii="Times New Roman"/>
          <w:i/>
          <w:iCs/>
        </w:rPr>
        <w:t>——</w:t>
      </w:r>
      <w:r>
        <w:rPr>
          <w:rFonts w:ascii="Times New Roman"/>
        </w:rPr>
        <w:t>固态变压器输出动态无功电流有效值，数值为正代表输出感性无功，数值为负代表输出容性无功；</w:t>
      </w:r>
    </w:p>
    <w:p w14:paraId="6F4BCB61">
      <w:pPr>
        <w:pStyle w:val="64"/>
        <w:rPr>
          <w:rFonts w:hAnsi="宋体" w:cs="宋体"/>
        </w:rPr>
      </w:pPr>
      <w:r>
        <w:rPr>
          <w:rFonts w:hint="eastAsia"/>
        </w:rPr>
        <w:t>K</w:t>
      </w:r>
      <w:r>
        <w:rPr>
          <w:rFonts w:hint="eastAsia"/>
          <w:vertAlign w:val="subscript"/>
        </w:rPr>
        <w:t>1</w:t>
      </w:r>
      <w:r>
        <w:rPr>
          <w:rFonts w:hint="eastAsia"/>
        </w:rPr>
        <w:t>、K</w:t>
      </w:r>
      <w:r>
        <w:rPr>
          <w:rFonts w:hint="eastAsia"/>
          <w:vertAlign w:val="subscript"/>
        </w:rPr>
        <w:t>2</w:t>
      </w:r>
      <w:r>
        <w:rPr>
          <w:rFonts w:ascii="Times New Roman"/>
          <w:i/>
          <w:iCs/>
        </w:rPr>
        <w:t>——</w:t>
      </w:r>
      <w:r>
        <w:rPr>
          <w:rFonts w:hint="eastAsia" w:hAnsi="宋体" w:cs="宋体"/>
        </w:rPr>
        <w:t>固态变压器输出动态无功电流与电压变化比例值，K₁和K₂应可设置，K</w:t>
      </w:r>
      <w:r>
        <w:rPr>
          <w:rFonts w:hint="eastAsia" w:hAnsi="宋体" w:cs="宋体"/>
          <w:vertAlign w:val="subscript"/>
        </w:rPr>
        <w:t>1</w:t>
      </w:r>
      <w:r>
        <w:rPr>
          <w:rFonts w:hint="eastAsia" w:hAnsi="宋体" w:cs="宋体"/>
        </w:rPr>
        <w:t>取值范围应为1.5～2.5，K</w:t>
      </w:r>
      <w:r>
        <w:rPr>
          <w:rFonts w:hint="eastAsia" w:hAnsi="宋体" w:cs="宋体"/>
          <w:vertAlign w:val="subscript"/>
        </w:rPr>
        <w:t>2</w:t>
      </w:r>
      <w:r>
        <w:rPr>
          <w:rFonts w:hint="eastAsia" w:hAnsi="宋体" w:cs="宋体"/>
        </w:rPr>
        <w:t>取值范围应为0～1.5；</w:t>
      </w:r>
    </w:p>
    <w:p w14:paraId="49C63CC0">
      <w:pPr>
        <w:pStyle w:val="64"/>
      </w:pPr>
      <w:r>
        <w:rPr>
          <w:rFonts w:hint="eastAsia"/>
        </w:rPr>
        <w:t>U</w:t>
      </w:r>
      <w:r>
        <w:rPr>
          <w:rFonts w:hint="eastAsia"/>
          <w:vertAlign w:val="subscript"/>
        </w:rPr>
        <w:t>T</w:t>
      </w:r>
      <w:r>
        <w:rPr>
          <w:rFonts w:ascii="Times New Roman"/>
          <w:i/>
          <w:iCs/>
        </w:rPr>
        <w:t>——</w:t>
      </w:r>
      <w:r>
        <w:rPr>
          <w:rFonts w:ascii="Times New Roman"/>
        </w:rPr>
        <w:t>固态变压器交流侧实际电压与额定电压的比值；</w:t>
      </w:r>
    </w:p>
    <w:p w14:paraId="55157CF9">
      <w:pPr>
        <w:pStyle w:val="64"/>
        <w:rPr>
          <w:rFonts w:ascii="Times New Roman"/>
        </w:rPr>
      </w:pPr>
      <w:r>
        <w:rPr>
          <w:rFonts w:hint="eastAsia"/>
        </w:rPr>
        <w:t>I</w:t>
      </w:r>
      <w:r>
        <w:rPr>
          <w:rFonts w:hint="eastAsia"/>
          <w:vertAlign w:val="subscript"/>
        </w:rPr>
        <w:t>N</w:t>
      </w:r>
      <w:r>
        <w:rPr>
          <w:rFonts w:ascii="Times New Roman"/>
          <w:i/>
          <w:iCs/>
        </w:rPr>
        <w:t>——</w:t>
      </w:r>
      <w:r>
        <w:rPr>
          <w:rFonts w:ascii="Times New Roman"/>
        </w:rPr>
        <w:t>固态变压器交流侧额定输出电流值。</w:t>
      </w:r>
    </w:p>
    <w:p w14:paraId="34683386">
      <w:pPr>
        <w:pStyle w:val="180"/>
        <w:numPr>
          <w:ilvl w:val="0"/>
          <w:numId w:val="44"/>
        </w:numPr>
      </w:pPr>
      <w:r>
        <w:rPr>
          <w:rFonts w:hint="eastAsia"/>
        </w:rPr>
        <w:t>对称故障时,动态无功电流的最大有效值不宜超过 1.05</w:t>
      </w:r>
      <w:r>
        <w:rPr>
          <w:rFonts w:ascii="Times New Roman"/>
        </w:rPr>
        <w:t xml:space="preserve"> </w:t>
      </w:r>
      <w:r>
        <w:rPr>
          <w:rFonts w:hint="eastAsia"/>
        </w:rPr>
        <w:t>IN；不对称故障时，动态无功电流的最大有效值不宜超过0.4</w:t>
      </w:r>
      <w:r>
        <w:rPr>
          <w:rFonts w:ascii="Times New Roman"/>
        </w:rPr>
        <w:t xml:space="preserve"> </w:t>
      </w:r>
      <w:r>
        <w:rPr>
          <w:rFonts w:hint="eastAsia"/>
        </w:rPr>
        <w:t>IN；</w:t>
      </w:r>
    </w:p>
    <w:p w14:paraId="1C8D7812">
      <w:pPr>
        <w:pStyle w:val="180"/>
        <w:numPr>
          <w:ilvl w:val="0"/>
          <w:numId w:val="44"/>
        </w:numPr>
      </w:pPr>
      <w:r>
        <w:rPr>
          <w:rFonts w:hint="eastAsia"/>
        </w:rPr>
        <w:t>动态无功电流控制误差不应大于±5%</w:t>
      </w:r>
      <w:r>
        <w:rPr>
          <w:rFonts w:ascii="Times New Roman"/>
        </w:rPr>
        <w:t xml:space="preserve"> </w:t>
      </w:r>
      <w:r>
        <w:rPr>
          <w:rFonts w:hint="eastAsia"/>
        </w:rPr>
        <w:t>IN</w:t>
      </w:r>
      <w:r>
        <w:t>。</w:t>
      </w:r>
    </w:p>
    <w:p w14:paraId="7A43FC97">
      <w:pPr>
        <w:pStyle w:val="73"/>
        <w:spacing w:before="120" w:after="120"/>
        <w:ind w:left="0" w:leftChars="0" w:firstLineChars="0"/>
      </w:pPr>
      <w:bookmarkStart w:id="108" w:name="_Toc214620386"/>
      <w:r>
        <w:rPr>
          <w:rFonts w:hint="eastAsia"/>
        </w:rPr>
        <w:t>运行适应性</w:t>
      </w:r>
      <w:bookmarkEnd w:id="108"/>
    </w:p>
    <w:p w14:paraId="1D3E1396">
      <w:pPr>
        <w:pStyle w:val="101"/>
      </w:pPr>
      <w:r>
        <w:rPr>
          <w:rFonts w:hint="eastAsia"/>
        </w:rPr>
        <w:t>电压适应性</w:t>
      </w:r>
    </w:p>
    <w:p w14:paraId="7182162A">
      <w:pPr>
        <w:pStyle w:val="64"/>
      </w:pPr>
      <w:r>
        <w:t>A类固态变压器在0.9p.u</w:t>
      </w:r>
      <w:r>
        <w:rPr>
          <w:rFonts w:hint="eastAsia"/>
        </w:rPr>
        <w:t>≤</w:t>
      </w:r>
      <w:r>
        <w:t>U</w:t>
      </w:r>
      <w:r>
        <w:rPr>
          <w:rFonts w:hint="eastAsia"/>
        </w:rPr>
        <w:t>≤</w:t>
      </w:r>
      <w:r>
        <w:t>1.1p.u应能正常运行</w:t>
      </w:r>
      <w:r>
        <w:rPr>
          <w:rFonts w:hint="eastAsia"/>
        </w:rPr>
        <w:t>，</w:t>
      </w:r>
      <w:r>
        <w:t>B类固态变压器宜与A类光伏固态变压器的要求相同。</w:t>
      </w:r>
    </w:p>
    <w:p w14:paraId="26993DB3">
      <w:pPr>
        <w:pStyle w:val="101"/>
      </w:pPr>
      <w:r>
        <w:rPr>
          <w:rFonts w:hint="eastAsia"/>
        </w:rPr>
        <w:t>频率适应性</w:t>
      </w:r>
    </w:p>
    <w:p w14:paraId="5FE0B9FE">
      <w:pPr>
        <w:pStyle w:val="64"/>
      </w:pPr>
      <w:r>
        <w:t>A类固态变压器和B类固态变压器应在表</w:t>
      </w:r>
      <w:r>
        <w:rPr>
          <w:rFonts w:hint="eastAsia"/>
          <w:lang w:val="en-US" w:eastAsia="zh-CN"/>
        </w:rPr>
        <w:t>5</w:t>
      </w:r>
      <w:r>
        <w:t>所示的交流侧频率范围内按规定运行。</w:t>
      </w:r>
    </w:p>
    <w:p w14:paraId="4B4C276E">
      <w:pPr>
        <w:pStyle w:val="118"/>
      </w:pPr>
      <w:r>
        <w:rPr>
          <w:rFonts w:hint="eastAsia"/>
        </w:rPr>
        <w:t>固态变压器运行适应范围</w:t>
      </w:r>
    </w:p>
    <w:tbl>
      <w:tblPr>
        <w:tblStyle w:val="29"/>
        <w:tblW w:w="0" w:type="auto"/>
        <w:jc w:val="center"/>
        <w:tblLayout w:type="autofit"/>
        <w:tblCellMar>
          <w:top w:w="0" w:type="dxa"/>
          <w:left w:w="108" w:type="dxa"/>
          <w:bottom w:w="0" w:type="dxa"/>
          <w:right w:w="108" w:type="dxa"/>
        </w:tblCellMar>
      </w:tblPr>
      <w:tblGrid>
        <w:gridCol w:w="1926"/>
        <w:gridCol w:w="4446"/>
      </w:tblGrid>
      <w:tr w14:paraId="35F645AD">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3917EDA">
            <w:pPr>
              <w:pStyle w:val="184"/>
            </w:pPr>
            <w:r>
              <w:t>频率范围</w:t>
            </w:r>
          </w:p>
        </w:tc>
        <w:tc>
          <w:tcPr>
            <w:tcW w:w="0" w:type="auto"/>
            <w:tcBorders>
              <w:top w:val="single" w:color="000000" w:sz="4" w:space="0"/>
              <w:left w:val="single" w:color="000000" w:sz="4" w:space="0"/>
              <w:bottom w:val="single" w:color="000000" w:sz="4" w:space="0"/>
              <w:right w:val="single" w:color="000000" w:sz="4" w:space="0"/>
            </w:tcBorders>
            <w:vAlign w:val="center"/>
          </w:tcPr>
          <w:p w14:paraId="3FBC4D82">
            <w:pPr>
              <w:pStyle w:val="184"/>
            </w:pPr>
            <w:r>
              <w:t>运行要求</w:t>
            </w:r>
          </w:p>
        </w:tc>
      </w:tr>
      <w:tr w14:paraId="0399F33A">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3DBC255">
            <w:pPr>
              <w:pStyle w:val="184"/>
            </w:pPr>
            <w:r>
              <w:t>f</w:t>
            </w:r>
            <w:r>
              <w:rPr>
                <w:rFonts w:hint="eastAsia"/>
              </w:rPr>
              <w:t>＜</w:t>
            </w:r>
            <w:r>
              <w:t>46.5 Hz</w:t>
            </w:r>
          </w:p>
        </w:tc>
        <w:tc>
          <w:tcPr>
            <w:tcW w:w="0" w:type="auto"/>
            <w:tcBorders>
              <w:top w:val="single" w:color="000000" w:sz="4" w:space="0"/>
              <w:left w:val="single" w:color="000000" w:sz="4" w:space="0"/>
              <w:bottom w:val="single" w:color="000000" w:sz="4" w:space="0"/>
              <w:right w:val="single" w:color="000000" w:sz="4" w:space="0"/>
            </w:tcBorders>
            <w:vAlign w:val="center"/>
          </w:tcPr>
          <w:p w14:paraId="60BB1177">
            <w:pPr>
              <w:pStyle w:val="184"/>
            </w:pPr>
            <w:r>
              <w:t>根据固态变压器允许运行的最低频率而定</w:t>
            </w:r>
          </w:p>
        </w:tc>
      </w:tr>
      <w:tr w14:paraId="520F669B">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414A840">
            <w:pPr>
              <w:pStyle w:val="184"/>
            </w:pPr>
            <w:r>
              <w:t>46.5 Hz</w:t>
            </w:r>
            <w:r>
              <w:rPr>
                <w:rFonts w:hint="eastAsia"/>
              </w:rPr>
              <w:t>≤</w:t>
            </w:r>
            <w:r>
              <w:t>f</w:t>
            </w:r>
            <w:r>
              <w:rPr>
                <w:rFonts w:hint="eastAsia"/>
              </w:rPr>
              <w:t>＜</w:t>
            </w:r>
            <w:r>
              <w:t>47.0 Hz</w:t>
            </w:r>
          </w:p>
        </w:tc>
        <w:tc>
          <w:tcPr>
            <w:tcW w:w="0" w:type="auto"/>
            <w:tcBorders>
              <w:top w:val="single" w:color="000000" w:sz="4" w:space="0"/>
              <w:left w:val="single" w:color="000000" w:sz="4" w:space="0"/>
              <w:bottom w:val="single" w:color="000000" w:sz="4" w:space="0"/>
              <w:right w:val="single" w:color="000000" w:sz="4" w:space="0"/>
            </w:tcBorders>
            <w:vAlign w:val="center"/>
          </w:tcPr>
          <w:p w14:paraId="67877138">
            <w:pPr>
              <w:pStyle w:val="184"/>
            </w:pPr>
            <w:r>
              <w:t>频率每次低于47.0 Hz,固态变压器应能至少运行5s</w:t>
            </w:r>
          </w:p>
        </w:tc>
      </w:tr>
      <w:tr w14:paraId="460E15BB">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3E02C6A">
            <w:pPr>
              <w:pStyle w:val="184"/>
            </w:pPr>
            <w:r>
              <w:t>47.0 Hz</w:t>
            </w:r>
            <w:r>
              <w:rPr>
                <w:rFonts w:hint="eastAsia"/>
              </w:rPr>
              <w:t>≤</w:t>
            </w:r>
            <w:r>
              <w:t>f</w:t>
            </w:r>
            <w:r>
              <w:rPr>
                <w:rFonts w:hint="eastAsia"/>
              </w:rPr>
              <w:t>＜</w:t>
            </w:r>
            <w:r>
              <w:t>47.5 Hz</w:t>
            </w:r>
          </w:p>
        </w:tc>
        <w:tc>
          <w:tcPr>
            <w:tcW w:w="0" w:type="auto"/>
            <w:tcBorders>
              <w:top w:val="single" w:color="000000" w:sz="4" w:space="0"/>
              <w:left w:val="single" w:color="000000" w:sz="4" w:space="0"/>
              <w:bottom w:val="single" w:color="000000" w:sz="4" w:space="0"/>
              <w:right w:val="single" w:color="000000" w:sz="4" w:space="0"/>
            </w:tcBorders>
            <w:vAlign w:val="center"/>
          </w:tcPr>
          <w:p w14:paraId="3A14ABC2">
            <w:pPr>
              <w:pStyle w:val="184"/>
            </w:pPr>
            <w:r>
              <w:t>频率每次低于47.5 Hz,固态变压器应能至少运行20 s</w:t>
            </w:r>
          </w:p>
        </w:tc>
      </w:tr>
      <w:tr w14:paraId="177D485F">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5648220">
            <w:pPr>
              <w:pStyle w:val="184"/>
            </w:pPr>
            <w:r>
              <w:t>47.5 Hz</w:t>
            </w:r>
            <w:r>
              <w:rPr>
                <w:rFonts w:hint="eastAsia"/>
              </w:rPr>
              <w:t>≤</w:t>
            </w:r>
            <w:r>
              <w:t>f</w:t>
            </w:r>
            <w:r>
              <w:rPr>
                <w:rFonts w:hint="eastAsia"/>
              </w:rPr>
              <w:t>＜</w:t>
            </w:r>
            <w:r>
              <w:t>48.0 Hz</w:t>
            </w:r>
          </w:p>
        </w:tc>
        <w:tc>
          <w:tcPr>
            <w:tcW w:w="0" w:type="auto"/>
            <w:tcBorders>
              <w:top w:val="single" w:color="000000" w:sz="4" w:space="0"/>
              <w:left w:val="single" w:color="000000" w:sz="4" w:space="0"/>
              <w:bottom w:val="single" w:color="000000" w:sz="4" w:space="0"/>
              <w:right w:val="single" w:color="000000" w:sz="4" w:space="0"/>
            </w:tcBorders>
            <w:vAlign w:val="center"/>
          </w:tcPr>
          <w:p w14:paraId="1BE0BB47">
            <w:pPr>
              <w:pStyle w:val="184"/>
            </w:pPr>
            <w:r>
              <w:t>频率每次低于48.0 Hz,固态变压器应能至少运行1 min</w:t>
            </w:r>
          </w:p>
        </w:tc>
      </w:tr>
      <w:tr w14:paraId="2DBD48A0">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C4E131E">
            <w:pPr>
              <w:pStyle w:val="184"/>
            </w:pPr>
            <w:r>
              <w:t>48.0 Hz</w:t>
            </w:r>
            <w:r>
              <w:rPr>
                <w:rFonts w:hint="eastAsia"/>
              </w:rPr>
              <w:t>≤</w:t>
            </w:r>
            <w:r>
              <w:t>f</w:t>
            </w:r>
            <w:r>
              <w:rPr>
                <w:rFonts w:hint="eastAsia"/>
              </w:rPr>
              <w:t>＜</w:t>
            </w:r>
            <w:r>
              <w:t>48.5 Hz</w:t>
            </w:r>
          </w:p>
        </w:tc>
        <w:tc>
          <w:tcPr>
            <w:tcW w:w="0" w:type="auto"/>
            <w:tcBorders>
              <w:top w:val="single" w:color="000000" w:sz="4" w:space="0"/>
              <w:left w:val="single" w:color="000000" w:sz="4" w:space="0"/>
              <w:bottom w:val="single" w:color="000000" w:sz="4" w:space="0"/>
              <w:right w:val="single" w:color="000000" w:sz="4" w:space="0"/>
            </w:tcBorders>
            <w:vAlign w:val="center"/>
          </w:tcPr>
          <w:p w14:paraId="1A403EFE">
            <w:pPr>
              <w:pStyle w:val="184"/>
            </w:pPr>
            <w:r>
              <w:t>频率每次低于48.5 Hz,固态变压器应能至少运行5 min</w:t>
            </w:r>
          </w:p>
        </w:tc>
      </w:tr>
      <w:tr w14:paraId="3444F94F">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197FE5C">
            <w:pPr>
              <w:pStyle w:val="184"/>
            </w:pPr>
            <w:r>
              <w:t>48.5 Hz</w:t>
            </w:r>
            <w:r>
              <w:rPr>
                <w:rFonts w:hint="eastAsia"/>
              </w:rPr>
              <w:t>≤</w:t>
            </w:r>
            <w:r>
              <w:t>f</w:t>
            </w:r>
            <w:r>
              <w:rPr>
                <w:rFonts w:hint="eastAsia"/>
              </w:rPr>
              <w:t>≤</w:t>
            </w:r>
            <w:r>
              <w:t>50.5 Hz</w:t>
            </w:r>
          </w:p>
        </w:tc>
        <w:tc>
          <w:tcPr>
            <w:tcW w:w="0" w:type="auto"/>
            <w:tcBorders>
              <w:top w:val="single" w:color="000000" w:sz="4" w:space="0"/>
              <w:left w:val="single" w:color="000000" w:sz="4" w:space="0"/>
              <w:bottom w:val="single" w:color="000000" w:sz="4" w:space="0"/>
              <w:right w:val="single" w:color="000000" w:sz="4" w:space="0"/>
            </w:tcBorders>
            <w:vAlign w:val="center"/>
          </w:tcPr>
          <w:p w14:paraId="4F060043">
            <w:pPr>
              <w:pStyle w:val="184"/>
            </w:pPr>
            <w:r>
              <w:t>连续运行</w:t>
            </w:r>
          </w:p>
        </w:tc>
      </w:tr>
      <w:tr w14:paraId="09C3F9AF">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51D25E9">
            <w:pPr>
              <w:pStyle w:val="184"/>
            </w:pPr>
            <w:r>
              <w:t>50.5 Hz</w:t>
            </w:r>
            <w:r>
              <w:rPr>
                <w:rFonts w:hint="eastAsia"/>
              </w:rPr>
              <w:t>＜</w:t>
            </w:r>
            <w:r>
              <w:t>f</w:t>
            </w:r>
            <w:r>
              <w:rPr>
                <w:rFonts w:hint="eastAsia"/>
              </w:rPr>
              <w:t>≤</w:t>
            </w:r>
            <w:r>
              <w:t>51.0 Hz</w:t>
            </w:r>
          </w:p>
        </w:tc>
        <w:tc>
          <w:tcPr>
            <w:tcW w:w="0" w:type="auto"/>
            <w:tcBorders>
              <w:top w:val="single" w:color="000000" w:sz="4" w:space="0"/>
              <w:left w:val="single" w:color="000000" w:sz="4" w:space="0"/>
              <w:bottom w:val="single" w:color="000000" w:sz="4" w:space="0"/>
              <w:right w:val="single" w:color="000000" w:sz="4" w:space="0"/>
            </w:tcBorders>
            <w:vAlign w:val="center"/>
          </w:tcPr>
          <w:p w14:paraId="5A445028">
            <w:pPr>
              <w:pStyle w:val="184"/>
            </w:pPr>
            <w:r>
              <w:t>频率每次高于50.5 Hz,固态变压器应能至少运行3 min</w:t>
            </w:r>
          </w:p>
        </w:tc>
      </w:tr>
      <w:tr w14:paraId="08B45C4C">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E4E584F">
            <w:pPr>
              <w:pStyle w:val="184"/>
            </w:pPr>
            <w:r>
              <w:t>51.0 Hz</w:t>
            </w:r>
            <w:r>
              <w:rPr>
                <w:rFonts w:hint="eastAsia"/>
              </w:rPr>
              <w:t>＜</w:t>
            </w:r>
            <w:r>
              <w:t>f</w:t>
            </w:r>
            <w:r>
              <w:rPr>
                <w:rFonts w:hint="eastAsia"/>
              </w:rPr>
              <w:t>≤</w:t>
            </w:r>
            <w:r>
              <w:t>51.5 Hz</w:t>
            </w:r>
          </w:p>
        </w:tc>
        <w:tc>
          <w:tcPr>
            <w:tcW w:w="0" w:type="auto"/>
            <w:tcBorders>
              <w:top w:val="single" w:color="000000" w:sz="4" w:space="0"/>
              <w:left w:val="single" w:color="000000" w:sz="4" w:space="0"/>
              <w:bottom w:val="single" w:color="000000" w:sz="4" w:space="0"/>
              <w:right w:val="single" w:color="000000" w:sz="4" w:space="0"/>
            </w:tcBorders>
            <w:vAlign w:val="center"/>
          </w:tcPr>
          <w:p w14:paraId="5E9EAF35">
            <w:pPr>
              <w:pStyle w:val="184"/>
            </w:pPr>
            <w:r>
              <w:t>频率每次高于50.5 Hz,固态变压器应能至少运行30 s</w:t>
            </w:r>
          </w:p>
        </w:tc>
      </w:tr>
      <w:tr w14:paraId="49D64D34">
        <w:tblPrEx>
          <w:tblCellMar>
            <w:top w:w="0" w:type="dxa"/>
            <w:left w:w="108" w:type="dxa"/>
            <w:bottom w:w="0" w:type="dxa"/>
            <w:right w:w="108" w:type="dxa"/>
          </w:tblCellMar>
        </w:tblPrEx>
        <w:trPr>
          <w:trHeight w:val="2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A45937F">
            <w:pPr>
              <w:pStyle w:val="184"/>
            </w:pPr>
            <w:r>
              <w:t>f</w:t>
            </w:r>
            <w:r>
              <w:rPr>
                <w:rFonts w:hint="eastAsia"/>
              </w:rPr>
              <w:t>＞</w:t>
            </w:r>
            <w:r>
              <w:t>51.5 Hz</w:t>
            </w:r>
          </w:p>
        </w:tc>
        <w:tc>
          <w:tcPr>
            <w:tcW w:w="0" w:type="auto"/>
            <w:tcBorders>
              <w:top w:val="single" w:color="000000" w:sz="4" w:space="0"/>
              <w:left w:val="single" w:color="000000" w:sz="4" w:space="0"/>
              <w:bottom w:val="single" w:color="000000" w:sz="4" w:space="0"/>
              <w:right w:val="single" w:color="000000" w:sz="4" w:space="0"/>
            </w:tcBorders>
            <w:vAlign w:val="center"/>
          </w:tcPr>
          <w:p w14:paraId="2A383858">
            <w:pPr>
              <w:pStyle w:val="184"/>
            </w:pPr>
            <w:r>
              <w:t>根据固态变压器允许运行的最高频率而定</w:t>
            </w:r>
          </w:p>
        </w:tc>
      </w:tr>
    </w:tbl>
    <w:p w14:paraId="3D5C9770">
      <w:pPr>
        <w:pStyle w:val="101"/>
      </w:pPr>
      <w:r>
        <w:rPr>
          <w:rFonts w:hint="eastAsia"/>
        </w:rPr>
        <w:t>电能质量适应性范围</w:t>
      </w:r>
    </w:p>
    <w:p w14:paraId="242A6B79">
      <w:pPr>
        <w:pStyle w:val="64"/>
      </w:pPr>
      <w:r>
        <w:t>当固态变压器交流侧电压谐波值满足GB/T 14549、三相电压不平衡度满足GB/T 15543、电压间谐波值满足GB/T 24337的规定时，固态变压器应能正常运行不脱网。</w:t>
      </w:r>
    </w:p>
    <w:p w14:paraId="0A69B4E3">
      <w:pPr>
        <w:pStyle w:val="73"/>
        <w:spacing w:before="120" w:after="120"/>
        <w:ind w:left="0" w:leftChars="0" w:firstLineChars="0"/>
      </w:pPr>
      <w:bookmarkStart w:id="109" w:name="_Toc214620387"/>
      <w:r>
        <w:rPr>
          <w:rFonts w:hint="eastAsia"/>
        </w:rPr>
        <w:t>保护</w:t>
      </w:r>
      <w:bookmarkEnd w:id="109"/>
    </w:p>
    <w:p w14:paraId="144D1739">
      <w:pPr>
        <w:pStyle w:val="101"/>
      </w:pPr>
      <w:r>
        <w:rPr>
          <w:rFonts w:hint="eastAsia"/>
        </w:rPr>
        <w:t>防孤岛保护</w:t>
      </w:r>
    </w:p>
    <w:p w14:paraId="6C80A65E">
      <w:pPr>
        <w:pStyle w:val="64"/>
      </w:pPr>
      <w:r>
        <w:t>防孤岛保护功能应满足下列要求：</w:t>
      </w:r>
    </w:p>
    <w:p w14:paraId="1E7B5AFD">
      <w:pPr>
        <w:pStyle w:val="180"/>
        <w:numPr>
          <w:ilvl w:val="0"/>
          <w:numId w:val="48"/>
        </w:numPr>
      </w:pPr>
      <w:r>
        <w:rPr>
          <w:rFonts w:hint="eastAsia"/>
        </w:rPr>
        <w:t>A类固态变压器可不具备防孤岛保护的能力。</w:t>
      </w:r>
    </w:p>
    <w:p w14:paraId="7D5E52AE">
      <w:pPr>
        <w:pStyle w:val="180"/>
        <w:numPr>
          <w:ilvl w:val="0"/>
          <w:numId w:val="48"/>
        </w:numPr>
      </w:pPr>
      <w:r>
        <w:rPr>
          <w:rFonts w:hint="eastAsia"/>
        </w:rPr>
        <w:t>B类固态变压器应具备快速检测孤岛且立即断开与电网连接的能力，防孤岛保护动作时间不大</w:t>
      </w:r>
      <w:r>
        <w:t>于2</w:t>
      </w:r>
      <w:r>
        <w:rPr>
          <w:rFonts w:ascii="Times New Roman"/>
        </w:rPr>
        <w:t xml:space="preserve"> </w:t>
      </w:r>
      <w:r>
        <w:t>s。</w:t>
      </w:r>
    </w:p>
    <w:p w14:paraId="2696D4F3">
      <w:pPr>
        <w:pStyle w:val="101"/>
      </w:pPr>
      <w:r>
        <w:rPr>
          <w:rFonts w:hint="eastAsia"/>
        </w:rPr>
        <w:t>恢复并网</w:t>
      </w:r>
    </w:p>
    <w:p w14:paraId="03742BF3">
      <w:pPr>
        <w:pStyle w:val="64"/>
      </w:pPr>
      <w:r>
        <w:t>恢复并网功能应满足下列要求：</w:t>
      </w:r>
    </w:p>
    <w:p w14:paraId="1AC6A933">
      <w:pPr>
        <w:pStyle w:val="180"/>
        <w:numPr>
          <w:ilvl w:val="0"/>
          <w:numId w:val="49"/>
        </w:numPr>
      </w:pPr>
      <w:r>
        <w:t>A类固态变压器因电压或频率异常保护后，是否自行恢复并网应可设置。</w:t>
      </w:r>
    </w:p>
    <w:p w14:paraId="5255CB8A">
      <w:pPr>
        <w:pStyle w:val="180"/>
        <w:numPr>
          <w:ilvl w:val="0"/>
          <w:numId w:val="49"/>
        </w:numPr>
        <w:rPr>
          <w:rFonts w:eastAsia="黑体"/>
        </w:rPr>
      </w:pPr>
      <w:r>
        <w:t>B类固态变压器因电压或频率异常保护后，当电压和频率恢复正常后，固态变压器应经过一个可调的延迟时间后方可恢复并网，延迟时间范围可采用60</w:t>
      </w:r>
      <w:r>
        <w:rPr>
          <w:rFonts w:ascii="Times New Roman"/>
        </w:rPr>
        <w:t xml:space="preserve"> </w:t>
      </w:r>
      <w:r>
        <w:t>s～300</w:t>
      </w:r>
      <w:r>
        <w:rPr>
          <w:rFonts w:ascii="Times New Roman"/>
        </w:rPr>
        <w:t xml:space="preserve"> </w:t>
      </w:r>
      <w:r>
        <w:t>s,控制误差不应大于2</w:t>
      </w:r>
      <w:r>
        <w:rPr>
          <w:rFonts w:ascii="Times New Roman"/>
        </w:rPr>
        <w:t xml:space="preserve"> </w:t>
      </w:r>
      <w:r>
        <w:t>s。固态变压器设置了启停机变化率时，恢复并网时应满足启停机变化率的要求。</w:t>
      </w:r>
      <w:bookmarkStart w:id="110" w:name="_Toc214620388"/>
    </w:p>
    <w:p w14:paraId="406E47F2">
      <w:pPr>
        <w:pStyle w:val="73"/>
        <w:spacing w:before="120" w:after="120"/>
        <w:ind w:left="0" w:leftChars="0" w:firstLineChars="0"/>
      </w:pPr>
      <w:r>
        <w:rPr>
          <w:rFonts w:hint="eastAsia"/>
        </w:rPr>
        <w:t>通信</w:t>
      </w:r>
      <w:bookmarkEnd w:id="110"/>
    </w:p>
    <w:p w14:paraId="61CAEE72">
      <w:pPr>
        <w:pStyle w:val="64"/>
      </w:pPr>
      <w:r>
        <w:t>固态变压器可采用光缆、PLC电力载波、以太网、无线等多种方式进行通信，通信内容应包括固态变压器运行状态、故障告警等相关信息，应采用通用通信协议。</w:t>
      </w:r>
    </w:p>
    <w:p w14:paraId="522A76B2">
      <w:pPr>
        <w:pStyle w:val="73"/>
        <w:keepNext w:val="0"/>
        <w:keepLines w:val="0"/>
        <w:pageBreakBefore w:val="0"/>
        <w:widowControl w:val="0"/>
        <w:kinsoku/>
        <w:wordWrap/>
        <w:overflowPunct/>
        <w:topLinePunct w:val="0"/>
        <w:autoSpaceDE/>
        <w:autoSpaceDN/>
        <w:bidi w:val="0"/>
        <w:adjustRightInd/>
        <w:snapToGrid/>
        <w:spacing w:beforeLines="0" w:afterLines="0"/>
        <w:ind w:left="0" w:leftChars="0" w:firstLineChar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所有非金属部件宜采用抗电晕放电的材料。</w:t>
      </w:r>
    </w:p>
    <w:p w14:paraId="412A7BF5">
      <w:pPr>
        <w:pStyle w:val="111"/>
        <w:spacing w:before="120" w:after="120"/>
        <w:rPr>
          <w:b w:val="0"/>
          <w:bCs w:val="0"/>
          <w:color w:val="auto"/>
          <w:highlight w:val="none"/>
        </w:rPr>
      </w:pPr>
      <w:bookmarkStart w:id="111" w:name="_Toc214620389"/>
      <w:bookmarkStart w:id="112" w:name="_Toc27256"/>
      <w:bookmarkStart w:id="113" w:name="_Toc12822"/>
      <w:r>
        <w:rPr>
          <w:rFonts w:hint="eastAsia"/>
          <w:b w:val="0"/>
          <w:bCs w:val="0"/>
          <w:color w:val="auto"/>
          <w:highlight w:val="none"/>
        </w:rPr>
        <w:t>冗余度</w:t>
      </w:r>
      <w:bookmarkEnd w:id="111"/>
      <w:bookmarkEnd w:id="112"/>
      <w:bookmarkEnd w:id="113"/>
    </w:p>
    <w:p w14:paraId="4397A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420" w:firstLineChars="200"/>
        <w:jc w:val="left"/>
        <w:rPr>
          <w:rFonts w:hint="eastAsia"/>
          <w:b w:val="0"/>
          <w:bCs w:val="0"/>
          <w:color w:val="auto"/>
          <w:highlight w:val="none"/>
        </w:rPr>
      </w:pPr>
      <w:r>
        <w:rPr>
          <w:rFonts w:ascii="宋体" w:hAnsi="宋体" w:eastAsia="宋体" w:cs="宋体"/>
          <w:b w:val="0"/>
          <w:bCs w:val="0"/>
          <w:color w:val="auto"/>
          <w:kern w:val="0"/>
          <w:sz w:val="21"/>
          <w:szCs w:val="21"/>
          <w:highlight w:val="none"/>
          <w:lang w:val="en-US" w:eastAsia="zh-CN" w:bidi="ar"/>
        </w:rPr>
        <w:t>整机功率模块每一项冗余度宜不小于5%，</w:t>
      </w:r>
      <w:r>
        <w:rPr>
          <w:rStyle w:val="32"/>
          <w:rFonts w:ascii="宋体" w:hAnsi="宋体" w:eastAsia="宋体" w:cs="宋体"/>
          <w:b w:val="0"/>
          <w:bCs w:val="0"/>
          <w:color w:val="auto"/>
          <w:kern w:val="0"/>
          <w:sz w:val="21"/>
          <w:szCs w:val="21"/>
          <w:highlight w:val="none"/>
          <w:lang w:val="en-US" w:eastAsia="zh-CN" w:bidi="ar"/>
        </w:rPr>
        <w:t>推荐采用N+1 冗余配置（N为满足额定容量所需的最小模块数量），冗余模块应具备热备用功能，故障模块切除后冗余模块可在10ms内投入运行，保证整机输出功率不降低</w:t>
      </w:r>
      <w:r>
        <w:rPr>
          <w:rFonts w:ascii="宋体" w:hAnsi="宋体" w:eastAsia="宋体" w:cs="宋体"/>
          <w:b w:val="0"/>
          <w:bCs w:val="0"/>
          <w:color w:val="auto"/>
          <w:kern w:val="0"/>
          <w:sz w:val="21"/>
          <w:szCs w:val="21"/>
          <w:highlight w:val="none"/>
          <w:lang w:val="en-US" w:eastAsia="zh-CN" w:bidi="ar"/>
        </w:rPr>
        <w:t>。</w:t>
      </w:r>
    </w:p>
    <w:p w14:paraId="22B55EC8">
      <w:pPr>
        <w:pStyle w:val="111"/>
        <w:spacing w:before="120" w:after="120"/>
      </w:pPr>
      <w:bookmarkStart w:id="114" w:name="_Toc17719"/>
      <w:bookmarkStart w:id="115" w:name="_Toc214620390"/>
      <w:bookmarkStart w:id="116" w:name="_Toc5247"/>
      <w:r>
        <w:rPr>
          <w:rFonts w:hint="eastAsia"/>
        </w:rPr>
        <w:t>机械性能</w:t>
      </w:r>
      <w:bookmarkEnd w:id="114"/>
      <w:bookmarkEnd w:id="115"/>
      <w:bookmarkEnd w:id="116"/>
    </w:p>
    <w:p w14:paraId="2301EB4F">
      <w:pPr>
        <w:pStyle w:val="171"/>
        <w:ind w:left="0" w:leftChars="0" w:firstLineChars="0"/>
        <w:rPr>
          <w:b w:val="0"/>
          <w:bCs w:val="0"/>
          <w:color w:val="auto"/>
          <w:highlight w:val="none"/>
        </w:rPr>
      </w:pPr>
      <w:r>
        <w:rPr>
          <w:rFonts w:hint="eastAsia"/>
          <w:b w:val="0"/>
          <w:bCs w:val="0"/>
          <w:color w:val="auto"/>
          <w:highlight w:val="none"/>
        </w:rPr>
        <w:t>成套设备应能承受地面水平加速度2ms</w:t>
      </w:r>
      <w:r>
        <w:rPr>
          <w:rFonts w:hint="eastAsia"/>
          <w:b w:val="0"/>
          <w:bCs w:val="0"/>
          <w:color w:val="auto"/>
          <w:highlight w:val="none"/>
          <w:vertAlign w:val="superscript"/>
        </w:rPr>
        <w:t>-2</w:t>
      </w:r>
      <w:r>
        <w:rPr>
          <w:rFonts w:hint="eastAsia"/>
          <w:b w:val="0"/>
          <w:bCs w:val="0"/>
          <w:color w:val="auto"/>
          <w:highlight w:val="none"/>
        </w:rPr>
        <w:t>，地面垂直加速度1ms</w:t>
      </w:r>
      <w:r>
        <w:rPr>
          <w:rFonts w:hint="eastAsia"/>
          <w:b w:val="0"/>
          <w:bCs w:val="0"/>
          <w:color w:val="auto"/>
          <w:highlight w:val="none"/>
          <w:vertAlign w:val="superscript"/>
        </w:rPr>
        <w:t>-2</w:t>
      </w:r>
      <w:r>
        <w:rPr>
          <w:rFonts w:hint="eastAsia"/>
          <w:b w:val="0"/>
          <w:bCs w:val="0"/>
          <w:color w:val="auto"/>
          <w:highlight w:val="none"/>
        </w:rPr>
        <w:t>的地震烈度</w:t>
      </w:r>
      <w:r>
        <w:rPr>
          <w:rFonts w:hint="eastAsia"/>
          <w:b w:val="0"/>
          <w:bCs w:val="0"/>
          <w:color w:val="auto"/>
          <w:highlight w:val="none"/>
          <w:lang w:eastAsia="zh-CN"/>
        </w:rPr>
        <w:t>（</w:t>
      </w:r>
      <w:r>
        <w:rPr>
          <w:rFonts w:hint="eastAsia"/>
          <w:b w:val="0"/>
          <w:bCs w:val="0"/>
          <w:color w:val="auto"/>
          <w:highlight w:val="none"/>
          <w:lang w:val="en-US" w:eastAsia="zh-CN"/>
        </w:rPr>
        <w:t>统一同步修改</w:t>
      </w:r>
      <w:r>
        <w:rPr>
          <w:rFonts w:hint="eastAsia"/>
          <w:b w:val="0"/>
          <w:bCs w:val="0"/>
          <w:color w:val="auto"/>
          <w:highlight w:val="none"/>
          <w:lang w:eastAsia="zh-CN"/>
        </w:rPr>
        <w:t>）</w:t>
      </w:r>
      <w:r>
        <w:rPr>
          <w:rFonts w:hint="eastAsia"/>
          <w:b w:val="0"/>
          <w:bCs w:val="0"/>
          <w:color w:val="auto"/>
          <w:highlight w:val="none"/>
        </w:rPr>
        <w:t>、吊装及检修时产生的应力、以及各种故障或控保系统动作产生的电动力。</w:t>
      </w:r>
      <w:r>
        <w:rPr>
          <w:rStyle w:val="32"/>
          <w:rFonts w:ascii="宋体" w:hAnsi="宋体" w:eastAsia="宋体" w:cs="宋体"/>
          <w:b w:val="0"/>
          <w:bCs w:val="0"/>
          <w:color w:val="auto"/>
          <w:kern w:val="0"/>
          <w:sz w:val="21"/>
          <w:szCs w:val="21"/>
          <w:highlight w:val="none"/>
          <w:lang w:val="en-US" w:eastAsia="zh-CN" w:bidi="ar"/>
        </w:rPr>
        <w:t>运输过程中应能承受频率 10Hz~150Hz、加速度 2m/s² 的随机振动</w:t>
      </w:r>
      <w:r>
        <w:rPr>
          <w:rStyle w:val="32"/>
          <w:rFonts w:hint="eastAsia" w:hAnsi="宋体" w:cs="宋体"/>
          <w:b w:val="0"/>
          <w:bCs w:val="0"/>
          <w:color w:val="auto"/>
          <w:kern w:val="0"/>
          <w:sz w:val="21"/>
          <w:szCs w:val="21"/>
          <w:highlight w:val="none"/>
          <w:lang w:val="en-US" w:eastAsia="zh-CN" w:bidi="ar"/>
        </w:rPr>
        <w:t>（一个方向还是三个方向，测试时间）</w:t>
      </w:r>
      <w:r>
        <w:rPr>
          <w:rStyle w:val="32"/>
          <w:rFonts w:ascii="宋体" w:hAnsi="宋体" w:eastAsia="宋体" w:cs="宋体"/>
          <w:b w:val="0"/>
          <w:bCs w:val="0"/>
          <w:color w:val="auto"/>
          <w:kern w:val="0"/>
          <w:sz w:val="21"/>
          <w:szCs w:val="21"/>
          <w:highlight w:val="none"/>
          <w:lang w:val="en-US" w:eastAsia="zh-CN" w:bidi="ar"/>
        </w:rPr>
        <w:t>，运输包装应采用防震缓冲材料，设备固定点应具备防松脱措施。</w:t>
      </w:r>
    </w:p>
    <w:p w14:paraId="1BAD0893">
      <w:pPr>
        <w:pStyle w:val="171"/>
        <w:ind w:left="0" w:leftChars="0" w:firstLineChars="0"/>
      </w:pPr>
      <w:r>
        <w:rPr>
          <w:rFonts w:hint="eastAsia"/>
        </w:rPr>
        <w:t>通讯光纤应便于插拔和更换，布置方式应避免受力损伤。</w:t>
      </w:r>
    </w:p>
    <w:p w14:paraId="62382688">
      <w:pPr>
        <w:pStyle w:val="171"/>
        <w:ind w:left="0" w:leftChars="0" w:firstLineChars="0"/>
        <w:rPr>
          <w:b w:val="0"/>
          <w:bCs w:val="0"/>
          <w:color w:val="auto"/>
          <w:highlight w:val="none"/>
        </w:rPr>
      </w:pPr>
      <w:r>
        <w:rPr>
          <w:rStyle w:val="32"/>
          <w:rFonts w:ascii="宋体" w:hAnsi="宋体" w:eastAsia="宋体" w:cs="宋体"/>
          <w:b w:val="0"/>
          <w:bCs w:val="0"/>
          <w:color w:val="auto"/>
          <w:kern w:val="0"/>
          <w:sz w:val="21"/>
          <w:szCs w:val="21"/>
          <w:highlight w:val="none"/>
          <w:lang w:val="en-US" w:eastAsia="zh-CN" w:bidi="ar"/>
        </w:rPr>
        <w:t>抗</w:t>
      </w:r>
      <w:r>
        <w:rPr>
          <w:rStyle w:val="32"/>
          <w:rFonts w:hint="eastAsia" w:hAnsi="宋体" w:cs="宋体"/>
          <w:b w:val="0"/>
          <w:bCs w:val="0"/>
          <w:color w:val="auto"/>
          <w:kern w:val="0"/>
          <w:sz w:val="21"/>
          <w:szCs w:val="21"/>
          <w:highlight w:val="none"/>
          <w:lang w:val="en-US" w:eastAsia="zh-CN" w:bidi="ar"/>
        </w:rPr>
        <w:t>振</w:t>
      </w:r>
      <w:r>
        <w:rPr>
          <w:rStyle w:val="32"/>
          <w:rFonts w:ascii="宋体" w:hAnsi="宋体" w:eastAsia="宋体" w:cs="宋体"/>
          <w:b w:val="0"/>
          <w:bCs w:val="0"/>
          <w:color w:val="auto"/>
          <w:kern w:val="0"/>
          <w:sz w:val="21"/>
          <w:szCs w:val="21"/>
          <w:highlight w:val="none"/>
          <w:lang w:val="en-US" w:eastAsia="zh-CN" w:bidi="ar"/>
        </w:rPr>
        <w:t>动等级应满足GB/T 4798.3中2级要求，防火等级应满足GB/T 5169.11中V-0级阻燃要求。</w:t>
      </w:r>
    </w:p>
    <w:p w14:paraId="0F902A66">
      <w:pPr>
        <w:pStyle w:val="111"/>
        <w:spacing w:before="120" w:after="120"/>
      </w:pPr>
      <w:bookmarkStart w:id="117" w:name="_Toc18758"/>
      <w:bookmarkStart w:id="118" w:name="_Toc214620391"/>
      <w:bookmarkStart w:id="119" w:name="_Toc18025"/>
      <w:r>
        <w:rPr>
          <w:rFonts w:hint="eastAsia"/>
        </w:rPr>
        <w:t>绝缘水平</w:t>
      </w:r>
      <w:bookmarkEnd w:id="117"/>
      <w:bookmarkEnd w:id="118"/>
      <w:bookmarkEnd w:id="119"/>
    </w:p>
    <w:p w14:paraId="28B73671">
      <w:pPr>
        <w:pStyle w:val="73"/>
        <w:spacing w:before="120" w:after="120"/>
        <w:ind w:left="0" w:leftChars="0" w:firstLineChars="0"/>
      </w:pPr>
      <w:r>
        <w:rPr>
          <w:rFonts w:hint="eastAsia"/>
        </w:rPr>
        <w:t>高压电路</w:t>
      </w:r>
    </w:p>
    <w:p w14:paraId="17B0470C">
      <w:pPr>
        <w:pStyle w:val="64"/>
        <w:rPr>
          <w:rFonts w:hint="eastAsia"/>
          <w:b w:val="0"/>
          <w:bCs w:val="0"/>
          <w:color w:val="auto"/>
          <w:highlight w:val="none"/>
        </w:rPr>
      </w:pPr>
      <w:r>
        <w:rPr>
          <w:rFonts w:hint="eastAsia"/>
        </w:rPr>
        <w:t>高压电路的绝缘水平应符合表</w:t>
      </w:r>
      <w:r>
        <w:rPr>
          <w:rFonts w:hint="eastAsia"/>
          <w:lang w:val="en-US" w:eastAsia="zh-CN"/>
        </w:rPr>
        <w:t>6</w:t>
      </w:r>
      <w:r>
        <w:rPr>
          <w:rFonts w:hint="eastAsia"/>
        </w:rPr>
        <w:t>的要求。</w:t>
      </w:r>
      <w:r>
        <w:rPr>
          <w:rStyle w:val="32"/>
          <w:rFonts w:ascii="宋体" w:hAnsi="宋体" w:eastAsia="宋体" w:cs="宋体"/>
          <w:b w:val="0"/>
          <w:bCs w:val="0"/>
          <w:color w:val="auto"/>
          <w:kern w:val="0"/>
          <w:sz w:val="21"/>
          <w:szCs w:val="21"/>
          <w:highlight w:val="none"/>
          <w:lang w:val="en-US" w:eastAsia="zh-CN" w:bidi="ar"/>
        </w:rPr>
        <w:t>对于 10kV 及以上电压等级，应增加局部放电试验要求，局部放电量应不超过 100pC（1.1 倍额定电压下）。</w:t>
      </w:r>
    </w:p>
    <w:p w14:paraId="60A26176">
      <w:pPr>
        <w:pStyle w:val="118"/>
        <w:rPr>
          <w:highlight w:val="none"/>
        </w:rPr>
      </w:pPr>
      <w:r>
        <w:rPr>
          <w:rFonts w:hint="eastAsia"/>
          <w:highlight w:val="none"/>
        </w:rPr>
        <w:t>高压电路的绝缘水平</w:t>
      </w:r>
    </w:p>
    <w:tbl>
      <w:tblPr>
        <w:tblStyle w:val="29"/>
        <w:tblW w:w="4994" w:type="pct"/>
        <w:tblInd w:w="0" w:type="dxa"/>
        <w:tblLayout w:type="autofit"/>
        <w:tblCellMar>
          <w:top w:w="0" w:type="dxa"/>
          <w:left w:w="108" w:type="dxa"/>
          <w:bottom w:w="0" w:type="dxa"/>
          <w:right w:w="108" w:type="dxa"/>
        </w:tblCellMar>
      </w:tblPr>
      <w:tblGrid>
        <w:gridCol w:w="1246"/>
        <w:gridCol w:w="1116"/>
        <w:gridCol w:w="1358"/>
        <w:gridCol w:w="1358"/>
        <w:gridCol w:w="2212"/>
        <w:gridCol w:w="2270"/>
      </w:tblGrid>
      <w:tr w14:paraId="00BE097F">
        <w:tblPrEx>
          <w:tblCellMar>
            <w:top w:w="0" w:type="dxa"/>
            <w:left w:w="108" w:type="dxa"/>
            <w:bottom w:w="0" w:type="dxa"/>
            <w:right w:w="108" w:type="dxa"/>
          </w:tblCellMar>
        </w:tblPrEx>
        <w:trPr>
          <w:trHeight w:val="1166" w:hRule="atLeast"/>
        </w:trPr>
        <w:tc>
          <w:tcPr>
            <w:tcW w:w="652" w:type="pct"/>
            <w:tcBorders>
              <w:top w:val="single" w:color="000000" w:sz="4" w:space="0"/>
              <w:left w:val="single" w:color="000000" w:sz="4" w:space="0"/>
              <w:right w:val="single" w:color="000000" w:sz="4" w:space="0"/>
            </w:tcBorders>
            <w:vAlign w:val="center"/>
          </w:tcPr>
          <w:p w14:paraId="5081DE5B">
            <w:pPr>
              <w:pStyle w:val="184"/>
              <w:rPr>
                <w:rFonts w:hint="eastAsia" w:eastAsia="宋体"/>
                <w:highlight w:val="none"/>
                <w:lang w:eastAsia="zh-CN"/>
              </w:rPr>
            </w:pPr>
            <w:r>
              <w:rPr>
                <w:rFonts w:hint="eastAsia"/>
                <w:highlight w:val="none"/>
              </w:rPr>
              <w:t>系统标称电压</w:t>
            </w:r>
            <w:r>
              <w:rPr>
                <w:rFonts w:hint="eastAsia"/>
                <w:highlight w:val="none"/>
                <w:lang w:eastAsia="zh-CN"/>
              </w:rPr>
              <w:t>（</w:t>
            </w:r>
            <w:r>
              <w:rPr>
                <w:rFonts w:hint="eastAsia"/>
                <w:highlight w:val="none"/>
                <w:lang w:val="en-US" w:eastAsia="zh-CN"/>
              </w:rPr>
              <w:t>方均根值</w:t>
            </w:r>
            <w:r>
              <w:rPr>
                <w:rFonts w:hint="eastAsia"/>
                <w:highlight w:val="none"/>
                <w:lang w:eastAsia="zh-CN"/>
              </w:rPr>
              <w:t>）</w:t>
            </w:r>
          </w:p>
          <w:p w14:paraId="213C37E1">
            <w:pPr>
              <w:pStyle w:val="184"/>
              <w:rPr>
                <w:highlight w:val="none"/>
              </w:rPr>
            </w:pPr>
            <w:r>
              <w:rPr>
                <w:rFonts w:hint="eastAsia"/>
                <w:highlight w:val="none"/>
              </w:rPr>
              <w:t>kV</w:t>
            </w:r>
          </w:p>
        </w:tc>
        <w:tc>
          <w:tcPr>
            <w:tcW w:w="584" w:type="pct"/>
            <w:tcBorders>
              <w:top w:val="single" w:color="000000" w:sz="4" w:space="0"/>
              <w:left w:val="single" w:color="000000" w:sz="4" w:space="0"/>
              <w:right w:val="single" w:color="000000" w:sz="4" w:space="0"/>
            </w:tcBorders>
            <w:vAlign w:val="center"/>
          </w:tcPr>
          <w:p w14:paraId="1E387F05">
            <w:pPr>
              <w:pStyle w:val="184"/>
              <w:rPr>
                <w:rFonts w:hint="eastAsia" w:eastAsia="宋体"/>
                <w:highlight w:val="none"/>
                <w:lang w:eastAsia="zh-CN"/>
              </w:rPr>
            </w:pPr>
            <w:r>
              <w:rPr>
                <w:rFonts w:hint="eastAsia"/>
                <w:highlight w:val="none"/>
              </w:rPr>
              <w:t>设备最高电压</w:t>
            </w:r>
            <w:r>
              <w:rPr>
                <w:rFonts w:hint="eastAsia"/>
                <w:highlight w:val="none"/>
                <w:lang w:val="en-US" w:eastAsia="zh-CN"/>
              </w:rPr>
              <w:t>U</w:t>
            </w:r>
            <w:r>
              <w:rPr>
                <w:rFonts w:hint="eastAsia"/>
                <w:highlight w:val="none"/>
                <w:vertAlign w:val="subscript"/>
                <w:lang w:val="en-US" w:eastAsia="zh-CN"/>
              </w:rPr>
              <w:t>m</w:t>
            </w:r>
            <w:r>
              <w:rPr>
                <w:rFonts w:hint="eastAsia"/>
                <w:highlight w:val="none"/>
                <w:lang w:eastAsia="zh-CN"/>
              </w:rPr>
              <w:t>（</w:t>
            </w:r>
            <w:r>
              <w:rPr>
                <w:rFonts w:hint="eastAsia"/>
                <w:highlight w:val="none"/>
                <w:lang w:val="en-US" w:eastAsia="zh-CN"/>
              </w:rPr>
              <w:t>方均根值</w:t>
            </w:r>
            <w:r>
              <w:rPr>
                <w:rFonts w:hint="eastAsia"/>
                <w:highlight w:val="none"/>
                <w:lang w:eastAsia="zh-CN"/>
              </w:rPr>
              <w:t>）</w:t>
            </w:r>
          </w:p>
          <w:p w14:paraId="786D92D8">
            <w:pPr>
              <w:pStyle w:val="184"/>
              <w:rPr>
                <w:highlight w:val="none"/>
              </w:rPr>
            </w:pPr>
            <w:r>
              <w:rPr>
                <w:rFonts w:hint="eastAsia"/>
                <w:highlight w:val="none"/>
              </w:rPr>
              <w:t>kV</w:t>
            </w:r>
          </w:p>
        </w:tc>
        <w:tc>
          <w:tcPr>
            <w:tcW w:w="710" w:type="pct"/>
            <w:tcBorders>
              <w:top w:val="single" w:color="000000" w:sz="4" w:space="0"/>
              <w:left w:val="single" w:color="000000" w:sz="4" w:space="0"/>
              <w:right w:val="single" w:color="auto" w:sz="4" w:space="0"/>
            </w:tcBorders>
            <w:vAlign w:val="center"/>
          </w:tcPr>
          <w:p w14:paraId="1EA752DF">
            <w:pPr>
              <w:pStyle w:val="184"/>
              <w:rPr>
                <w:rFonts w:hint="default" w:eastAsia="宋体"/>
                <w:highlight w:val="none"/>
                <w:lang w:val="en-US" w:eastAsia="zh-CN"/>
              </w:rPr>
            </w:pPr>
            <w:r>
              <w:rPr>
                <w:rFonts w:hint="eastAsia"/>
                <w:highlight w:val="none"/>
              </w:rPr>
              <w:t>雷电</w:t>
            </w:r>
            <w:r>
              <w:rPr>
                <w:rFonts w:hint="eastAsia"/>
                <w:highlight w:val="none"/>
                <w:lang w:val="en-US" w:eastAsia="zh-CN"/>
              </w:rPr>
              <w:t>全波冲击（LI）（峰值）</w:t>
            </w:r>
          </w:p>
          <w:p w14:paraId="4B0ABB2A">
            <w:pPr>
              <w:pStyle w:val="184"/>
              <w:rPr>
                <w:highlight w:val="none"/>
              </w:rPr>
            </w:pPr>
            <w:r>
              <w:rPr>
                <w:rFonts w:hint="eastAsia"/>
                <w:highlight w:val="none"/>
              </w:rPr>
              <w:t>kV</w:t>
            </w:r>
          </w:p>
        </w:tc>
        <w:tc>
          <w:tcPr>
            <w:tcW w:w="710" w:type="pct"/>
            <w:tcBorders>
              <w:top w:val="single" w:color="000000" w:sz="4" w:space="0"/>
              <w:left w:val="single" w:color="000000" w:sz="4" w:space="0"/>
              <w:right w:val="single" w:color="auto" w:sz="4" w:space="0"/>
            </w:tcBorders>
            <w:vAlign w:val="center"/>
          </w:tcPr>
          <w:p w14:paraId="47EDD6AF">
            <w:pPr>
              <w:pStyle w:val="184"/>
              <w:rPr>
                <w:rFonts w:hint="default" w:eastAsia="宋体"/>
                <w:highlight w:val="none"/>
                <w:lang w:val="en-US" w:eastAsia="zh-CN"/>
              </w:rPr>
            </w:pPr>
            <w:r>
              <w:rPr>
                <w:rFonts w:hint="eastAsia"/>
                <w:highlight w:val="none"/>
              </w:rPr>
              <w:t>雷电</w:t>
            </w:r>
            <w:r>
              <w:rPr>
                <w:rFonts w:hint="eastAsia"/>
                <w:highlight w:val="none"/>
                <w:lang w:val="en-US" w:eastAsia="zh-CN"/>
              </w:rPr>
              <w:t>截波冲击（LIC）（峰值）</w:t>
            </w:r>
          </w:p>
          <w:p w14:paraId="3116CA1B">
            <w:pPr>
              <w:pStyle w:val="184"/>
              <w:rPr>
                <w:rFonts w:hint="eastAsia"/>
                <w:highlight w:val="none"/>
              </w:rPr>
            </w:pPr>
            <w:r>
              <w:rPr>
                <w:rFonts w:hint="eastAsia"/>
                <w:highlight w:val="none"/>
              </w:rPr>
              <w:t>kV</w:t>
            </w:r>
          </w:p>
        </w:tc>
        <w:tc>
          <w:tcPr>
            <w:tcW w:w="1157" w:type="pct"/>
            <w:tcBorders>
              <w:top w:val="single" w:color="auto" w:sz="4" w:space="0"/>
              <w:left w:val="single" w:color="auto" w:sz="4" w:space="0"/>
              <w:bottom w:val="single" w:color="auto" w:sz="4" w:space="0"/>
              <w:right w:val="single" w:color="auto" w:sz="4" w:space="0"/>
            </w:tcBorders>
            <w:vAlign w:val="center"/>
          </w:tcPr>
          <w:p w14:paraId="19D659BE">
            <w:pPr>
              <w:pStyle w:val="184"/>
              <w:rPr>
                <w:rFonts w:hint="default" w:eastAsia="宋体"/>
                <w:highlight w:val="none"/>
                <w:lang w:val="en-US" w:eastAsia="zh-CN"/>
              </w:rPr>
            </w:pPr>
            <w:r>
              <w:rPr>
                <w:rFonts w:hint="eastAsia"/>
                <w:highlight w:val="none"/>
                <w:lang w:val="en-US" w:eastAsia="zh-CN"/>
              </w:rPr>
              <w:t>操作冲击（SI）（峰值，相对地）</w:t>
            </w:r>
          </w:p>
          <w:p w14:paraId="65521B72">
            <w:pPr>
              <w:pStyle w:val="184"/>
              <w:rPr>
                <w:highlight w:val="none"/>
              </w:rPr>
            </w:pPr>
            <w:r>
              <w:rPr>
                <w:rFonts w:hint="eastAsia"/>
                <w:highlight w:val="none"/>
              </w:rPr>
              <w:t>kV</w:t>
            </w:r>
          </w:p>
        </w:tc>
        <w:tc>
          <w:tcPr>
            <w:tcW w:w="1185" w:type="pct"/>
            <w:tcBorders>
              <w:top w:val="single" w:color="auto" w:sz="4" w:space="0"/>
              <w:left w:val="single" w:color="auto" w:sz="4" w:space="0"/>
              <w:bottom w:val="single" w:color="auto" w:sz="4" w:space="0"/>
              <w:right w:val="single" w:color="auto" w:sz="4" w:space="0"/>
            </w:tcBorders>
            <w:vAlign w:val="center"/>
          </w:tcPr>
          <w:p w14:paraId="4AA57F6E">
            <w:pPr>
              <w:pStyle w:val="184"/>
              <w:rPr>
                <w:rFonts w:hint="default" w:eastAsia="宋体"/>
                <w:highlight w:val="none"/>
                <w:lang w:val="en-US" w:eastAsia="zh-CN"/>
              </w:rPr>
            </w:pPr>
            <w:r>
              <w:rPr>
                <w:rFonts w:hint="eastAsia"/>
                <w:highlight w:val="none"/>
                <w:lang w:val="en-US" w:eastAsia="zh-CN"/>
              </w:rPr>
              <w:t>外施耐压或线段交流耐压（AV）或（LTAC）</w:t>
            </w:r>
            <w:r>
              <w:rPr>
                <w:rFonts w:hint="eastAsia"/>
                <w:highlight w:val="none"/>
                <w:lang w:eastAsia="zh-CN"/>
              </w:rPr>
              <w:t>（</w:t>
            </w:r>
            <w:r>
              <w:rPr>
                <w:rFonts w:hint="eastAsia"/>
                <w:highlight w:val="none"/>
                <w:lang w:val="en-US" w:eastAsia="zh-CN"/>
              </w:rPr>
              <w:t>方均根值</w:t>
            </w:r>
            <w:r>
              <w:rPr>
                <w:rFonts w:hint="eastAsia"/>
                <w:highlight w:val="none"/>
                <w:lang w:eastAsia="zh-CN"/>
              </w:rPr>
              <w:t>）</w:t>
            </w:r>
          </w:p>
        </w:tc>
      </w:tr>
      <w:tr w14:paraId="15E61B01">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311799A5">
            <w:pPr>
              <w:pStyle w:val="184"/>
              <w:rPr>
                <w:rFonts w:hint="eastAsia" w:eastAsia="宋体"/>
                <w:highlight w:val="none"/>
                <w:lang w:val="en-US" w:eastAsia="zh-CN"/>
              </w:rPr>
            </w:pPr>
            <w:r>
              <w:rPr>
                <w:rFonts w:hint="eastAsia"/>
                <w:highlight w:val="none"/>
                <w:lang w:val="en-US" w:eastAsia="zh-CN"/>
              </w:rPr>
              <w:t>-</w:t>
            </w:r>
          </w:p>
        </w:tc>
        <w:tc>
          <w:tcPr>
            <w:tcW w:w="584" w:type="pct"/>
            <w:tcBorders>
              <w:top w:val="single" w:color="000000" w:sz="4" w:space="0"/>
              <w:left w:val="single" w:color="000000" w:sz="4" w:space="0"/>
              <w:bottom w:val="single" w:color="000000" w:sz="4" w:space="0"/>
              <w:right w:val="single" w:color="000000" w:sz="4" w:space="0"/>
            </w:tcBorders>
            <w:vAlign w:val="center"/>
          </w:tcPr>
          <w:p w14:paraId="06DA9765">
            <w:pPr>
              <w:pStyle w:val="184"/>
              <w:rPr>
                <w:rFonts w:hint="default" w:eastAsia="宋体"/>
                <w:highlight w:val="none"/>
                <w:lang w:val="en-US" w:eastAsia="zh-CN"/>
              </w:rPr>
            </w:pPr>
            <w:r>
              <w:rPr>
                <w:rFonts w:hint="eastAsia"/>
                <w:highlight w:val="none"/>
                <w:lang w:val="en-US" w:eastAsia="zh-CN"/>
              </w:rPr>
              <w:t>≤1.1</w:t>
            </w:r>
          </w:p>
        </w:tc>
        <w:tc>
          <w:tcPr>
            <w:tcW w:w="710" w:type="pct"/>
            <w:tcBorders>
              <w:top w:val="single" w:color="000000" w:sz="4" w:space="0"/>
              <w:left w:val="single" w:color="000000" w:sz="4" w:space="0"/>
              <w:bottom w:val="single" w:color="000000" w:sz="4" w:space="0"/>
              <w:right w:val="single" w:color="000000" w:sz="4" w:space="0"/>
            </w:tcBorders>
            <w:vAlign w:val="center"/>
          </w:tcPr>
          <w:p w14:paraId="316DBBF7">
            <w:pPr>
              <w:pStyle w:val="184"/>
              <w:rPr>
                <w:rFonts w:hint="eastAsia"/>
                <w:highlight w:val="none"/>
              </w:rPr>
            </w:pPr>
            <w:r>
              <w:rPr>
                <w:rFonts w:hint="eastAsia"/>
                <w:highlight w:val="none"/>
                <w:lang w:val="en-US" w:eastAsia="zh-CN"/>
              </w:rPr>
              <w:t>-</w:t>
            </w:r>
          </w:p>
        </w:tc>
        <w:tc>
          <w:tcPr>
            <w:tcW w:w="710" w:type="pct"/>
            <w:tcBorders>
              <w:top w:val="single" w:color="000000" w:sz="4" w:space="0"/>
              <w:left w:val="single" w:color="000000" w:sz="4" w:space="0"/>
              <w:bottom w:val="single" w:color="000000" w:sz="4" w:space="0"/>
              <w:right w:val="single" w:color="auto" w:sz="4" w:space="0"/>
            </w:tcBorders>
            <w:vAlign w:val="center"/>
          </w:tcPr>
          <w:p w14:paraId="0802DB6D">
            <w:pPr>
              <w:pStyle w:val="184"/>
              <w:rPr>
                <w:rFonts w:hint="eastAsia"/>
                <w:highlight w:val="none"/>
              </w:rPr>
            </w:pPr>
            <w:r>
              <w:rPr>
                <w:rFonts w:hint="eastAsia"/>
                <w:highlight w:val="none"/>
                <w:lang w:val="en-US" w:eastAsia="zh-CN"/>
              </w:rPr>
              <w:t>-</w:t>
            </w:r>
          </w:p>
        </w:tc>
        <w:tc>
          <w:tcPr>
            <w:tcW w:w="1157" w:type="pct"/>
            <w:tcBorders>
              <w:top w:val="single" w:color="auto" w:sz="4" w:space="0"/>
              <w:left w:val="single" w:color="auto" w:sz="4" w:space="0"/>
              <w:bottom w:val="single" w:color="auto" w:sz="4" w:space="0"/>
              <w:right w:val="single" w:color="auto" w:sz="4" w:space="0"/>
            </w:tcBorders>
            <w:vAlign w:val="center"/>
          </w:tcPr>
          <w:p w14:paraId="440024EB">
            <w:pPr>
              <w:pStyle w:val="184"/>
              <w:rPr>
                <w:rFonts w:hint="eastAsia"/>
                <w:highlight w:val="none"/>
              </w:rPr>
            </w:pPr>
            <w:r>
              <w:rPr>
                <w:rFonts w:hint="eastAsia"/>
                <w:highlight w:val="none"/>
                <w:lang w:val="en-US" w:eastAsia="zh-CN"/>
              </w:rPr>
              <w:t>-</w:t>
            </w:r>
          </w:p>
        </w:tc>
        <w:tc>
          <w:tcPr>
            <w:tcW w:w="1185" w:type="pct"/>
            <w:tcBorders>
              <w:top w:val="single" w:color="auto" w:sz="4" w:space="0"/>
              <w:left w:val="single" w:color="auto" w:sz="4" w:space="0"/>
              <w:bottom w:val="single" w:color="auto" w:sz="4" w:space="0"/>
              <w:right w:val="single" w:color="auto" w:sz="4" w:space="0"/>
            </w:tcBorders>
            <w:vAlign w:val="center"/>
          </w:tcPr>
          <w:p w14:paraId="17A2AADD">
            <w:pPr>
              <w:pStyle w:val="184"/>
              <w:rPr>
                <w:rFonts w:hint="eastAsia" w:eastAsia="宋体"/>
                <w:highlight w:val="none"/>
                <w:lang w:val="en-US" w:eastAsia="zh-CN"/>
              </w:rPr>
            </w:pPr>
            <w:r>
              <w:rPr>
                <w:rFonts w:hint="eastAsia"/>
                <w:highlight w:val="none"/>
                <w:lang w:val="en-US" w:eastAsia="zh-CN"/>
              </w:rPr>
              <w:t>5</w:t>
            </w:r>
          </w:p>
        </w:tc>
      </w:tr>
      <w:tr w14:paraId="3C7F2480">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2547DEE3">
            <w:pPr>
              <w:pStyle w:val="184"/>
              <w:rPr>
                <w:highlight w:val="none"/>
              </w:rPr>
            </w:pPr>
            <w:r>
              <w:rPr>
                <w:rFonts w:hint="eastAsia"/>
                <w:highlight w:val="none"/>
              </w:rPr>
              <w:t>3</w:t>
            </w:r>
          </w:p>
        </w:tc>
        <w:tc>
          <w:tcPr>
            <w:tcW w:w="584" w:type="pct"/>
            <w:tcBorders>
              <w:top w:val="single" w:color="000000" w:sz="4" w:space="0"/>
              <w:left w:val="single" w:color="000000" w:sz="4" w:space="0"/>
              <w:bottom w:val="single" w:color="000000" w:sz="4" w:space="0"/>
              <w:right w:val="single" w:color="000000" w:sz="4" w:space="0"/>
            </w:tcBorders>
            <w:vAlign w:val="center"/>
          </w:tcPr>
          <w:p w14:paraId="513E7E16">
            <w:pPr>
              <w:pStyle w:val="184"/>
              <w:rPr>
                <w:highlight w:val="none"/>
              </w:rPr>
            </w:pPr>
            <w:r>
              <w:rPr>
                <w:rFonts w:hint="eastAsia"/>
                <w:highlight w:val="none"/>
              </w:rPr>
              <w:t>3.6</w:t>
            </w:r>
          </w:p>
        </w:tc>
        <w:tc>
          <w:tcPr>
            <w:tcW w:w="710" w:type="pct"/>
            <w:tcBorders>
              <w:top w:val="single" w:color="000000" w:sz="4" w:space="0"/>
              <w:left w:val="single" w:color="000000" w:sz="4" w:space="0"/>
              <w:bottom w:val="single" w:color="000000" w:sz="4" w:space="0"/>
              <w:right w:val="single" w:color="000000" w:sz="4" w:space="0"/>
            </w:tcBorders>
            <w:vAlign w:val="center"/>
          </w:tcPr>
          <w:p w14:paraId="6577E0BD">
            <w:pPr>
              <w:pStyle w:val="184"/>
              <w:rPr>
                <w:highlight w:val="none"/>
              </w:rPr>
            </w:pPr>
            <w:r>
              <w:rPr>
                <w:rFonts w:hint="eastAsia"/>
                <w:highlight w:val="none"/>
              </w:rPr>
              <w:t>40</w:t>
            </w:r>
          </w:p>
        </w:tc>
        <w:tc>
          <w:tcPr>
            <w:tcW w:w="710" w:type="pct"/>
            <w:tcBorders>
              <w:top w:val="single" w:color="000000" w:sz="4" w:space="0"/>
              <w:left w:val="single" w:color="000000" w:sz="4" w:space="0"/>
              <w:bottom w:val="single" w:color="000000" w:sz="4" w:space="0"/>
              <w:right w:val="single" w:color="auto" w:sz="4" w:space="0"/>
            </w:tcBorders>
            <w:vAlign w:val="center"/>
          </w:tcPr>
          <w:p w14:paraId="42F5AF31">
            <w:pPr>
              <w:pStyle w:val="184"/>
              <w:rPr>
                <w:rFonts w:hint="default" w:eastAsia="宋体"/>
                <w:highlight w:val="none"/>
                <w:lang w:val="en-US" w:eastAsia="zh-CN"/>
              </w:rPr>
            </w:pPr>
            <w:r>
              <w:rPr>
                <w:rFonts w:hint="eastAsia"/>
                <w:highlight w:val="none"/>
                <w:lang w:val="en-US" w:eastAsia="zh-CN"/>
              </w:rPr>
              <w:t>45</w:t>
            </w:r>
          </w:p>
        </w:tc>
        <w:tc>
          <w:tcPr>
            <w:tcW w:w="1157" w:type="pct"/>
            <w:tcBorders>
              <w:top w:val="single" w:color="auto" w:sz="4" w:space="0"/>
              <w:left w:val="single" w:color="auto" w:sz="4" w:space="0"/>
              <w:bottom w:val="single" w:color="auto" w:sz="4" w:space="0"/>
              <w:right w:val="single" w:color="auto" w:sz="4" w:space="0"/>
            </w:tcBorders>
            <w:vAlign w:val="center"/>
          </w:tcPr>
          <w:p w14:paraId="664EC04B">
            <w:pPr>
              <w:pStyle w:val="184"/>
              <w:rPr>
                <w:highlight w:val="none"/>
              </w:rPr>
            </w:pPr>
          </w:p>
        </w:tc>
        <w:tc>
          <w:tcPr>
            <w:tcW w:w="1185" w:type="pct"/>
            <w:tcBorders>
              <w:top w:val="single" w:color="auto" w:sz="4" w:space="0"/>
              <w:left w:val="single" w:color="auto" w:sz="4" w:space="0"/>
              <w:bottom w:val="single" w:color="auto" w:sz="4" w:space="0"/>
              <w:right w:val="single" w:color="auto" w:sz="4" w:space="0"/>
            </w:tcBorders>
            <w:vAlign w:val="center"/>
          </w:tcPr>
          <w:p w14:paraId="7633E0BF">
            <w:pPr>
              <w:pStyle w:val="184"/>
              <w:rPr>
                <w:rFonts w:hint="default" w:eastAsia="宋体"/>
                <w:highlight w:val="none"/>
                <w:lang w:val="en-US" w:eastAsia="zh-CN"/>
              </w:rPr>
            </w:pPr>
            <w:r>
              <w:rPr>
                <w:rFonts w:hint="eastAsia"/>
                <w:highlight w:val="none"/>
                <w:lang w:val="en-US" w:eastAsia="zh-CN"/>
              </w:rPr>
              <w:t>18</w:t>
            </w:r>
          </w:p>
        </w:tc>
      </w:tr>
      <w:tr w14:paraId="32987D03">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6339071E">
            <w:pPr>
              <w:pStyle w:val="184"/>
              <w:rPr>
                <w:highlight w:val="none"/>
              </w:rPr>
            </w:pPr>
            <w:r>
              <w:rPr>
                <w:rFonts w:hint="eastAsia"/>
                <w:highlight w:val="none"/>
              </w:rPr>
              <w:t>6</w:t>
            </w:r>
          </w:p>
        </w:tc>
        <w:tc>
          <w:tcPr>
            <w:tcW w:w="584" w:type="pct"/>
            <w:tcBorders>
              <w:top w:val="single" w:color="000000" w:sz="4" w:space="0"/>
              <w:left w:val="single" w:color="000000" w:sz="4" w:space="0"/>
              <w:bottom w:val="single" w:color="000000" w:sz="4" w:space="0"/>
              <w:right w:val="single" w:color="000000" w:sz="4" w:space="0"/>
            </w:tcBorders>
            <w:vAlign w:val="center"/>
          </w:tcPr>
          <w:p w14:paraId="1DD2E90F">
            <w:pPr>
              <w:pStyle w:val="184"/>
              <w:rPr>
                <w:highlight w:val="none"/>
              </w:rPr>
            </w:pPr>
            <w:r>
              <w:rPr>
                <w:rFonts w:hint="eastAsia"/>
                <w:highlight w:val="none"/>
              </w:rPr>
              <w:t>7.2</w:t>
            </w:r>
          </w:p>
        </w:tc>
        <w:tc>
          <w:tcPr>
            <w:tcW w:w="710" w:type="pct"/>
            <w:tcBorders>
              <w:top w:val="single" w:color="000000" w:sz="4" w:space="0"/>
              <w:left w:val="single" w:color="000000" w:sz="4" w:space="0"/>
              <w:bottom w:val="single" w:color="000000" w:sz="4" w:space="0"/>
              <w:right w:val="single" w:color="000000" w:sz="4" w:space="0"/>
            </w:tcBorders>
            <w:vAlign w:val="center"/>
          </w:tcPr>
          <w:p w14:paraId="3F43B226">
            <w:pPr>
              <w:pStyle w:val="184"/>
              <w:rPr>
                <w:highlight w:val="none"/>
              </w:rPr>
            </w:pPr>
            <w:r>
              <w:rPr>
                <w:rFonts w:hint="eastAsia"/>
                <w:highlight w:val="none"/>
              </w:rPr>
              <w:t>60</w:t>
            </w:r>
          </w:p>
        </w:tc>
        <w:tc>
          <w:tcPr>
            <w:tcW w:w="710" w:type="pct"/>
            <w:tcBorders>
              <w:top w:val="single" w:color="000000" w:sz="4" w:space="0"/>
              <w:left w:val="single" w:color="000000" w:sz="4" w:space="0"/>
              <w:bottom w:val="single" w:color="000000" w:sz="4" w:space="0"/>
              <w:right w:val="single" w:color="auto" w:sz="4" w:space="0"/>
            </w:tcBorders>
            <w:vAlign w:val="center"/>
          </w:tcPr>
          <w:p w14:paraId="23164382">
            <w:pPr>
              <w:pStyle w:val="184"/>
              <w:rPr>
                <w:rFonts w:hint="default" w:eastAsia="宋体"/>
                <w:highlight w:val="none"/>
                <w:lang w:val="en-US" w:eastAsia="zh-CN"/>
              </w:rPr>
            </w:pPr>
            <w:r>
              <w:rPr>
                <w:rFonts w:hint="eastAsia"/>
                <w:highlight w:val="none"/>
                <w:lang w:val="en-US" w:eastAsia="zh-CN"/>
              </w:rPr>
              <w:t>65</w:t>
            </w:r>
          </w:p>
        </w:tc>
        <w:tc>
          <w:tcPr>
            <w:tcW w:w="1157" w:type="pct"/>
            <w:tcBorders>
              <w:top w:val="single" w:color="auto" w:sz="4" w:space="0"/>
              <w:left w:val="single" w:color="auto" w:sz="4" w:space="0"/>
              <w:bottom w:val="single" w:color="auto" w:sz="4" w:space="0"/>
              <w:right w:val="single" w:color="auto" w:sz="4" w:space="0"/>
            </w:tcBorders>
            <w:vAlign w:val="center"/>
          </w:tcPr>
          <w:p w14:paraId="282894B1">
            <w:pPr>
              <w:pStyle w:val="184"/>
              <w:rPr>
                <w:highlight w:val="none"/>
              </w:rPr>
            </w:pPr>
          </w:p>
        </w:tc>
        <w:tc>
          <w:tcPr>
            <w:tcW w:w="1185" w:type="pct"/>
            <w:tcBorders>
              <w:top w:val="single" w:color="auto" w:sz="4" w:space="0"/>
              <w:left w:val="single" w:color="auto" w:sz="4" w:space="0"/>
              <w:bottom w:val="single" w:color="auto" w:sz="4" w:space="0"/>
              <w:right w:val="single" w:color="auto" w:sz="4" w:space="0"/>
            </w:tcBorders>
            <w:vAlign w:val="center"/>
          </w:tcPr>
          <w:p w14:paraId="37DD0233">
            <w:pPr>
              <w:pStyle w:val="184"/>
              <w:rPr>
                <w:rFonts w:hint="default" w:eastAsia="宋体"/>
                <w:highlight w:val="none"/>
                <w:lang w:val="en-US" w:eastAsia="zh-CN"/>
              </w:rPr>
            </w:pPr>
            <w:r>
              <w:rPr>
                <w:rFonts w:hint="eastAsia"/>
                <w:highlight w:val="none"/>
                <w:lang w:val="en-US" w:eastAsia="zh-CN"/>
              </w:rPr>
              <w:t>25</w:t>
            </w:r>
          </w:p>
        </w:tc>
      </w:tr>
      <w:tr w14:paraId="0D5CDC39">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7E6720AA">
            <w:pPr>
              <w:pStyle w:val="184"/>
              <w:rPr>
                <w:highlight w:val="none"/>
              </w:rPr>
            </w:pPr>
            <w:r>
              <w:rPr>
                <w:rFonts w:hint="eastAsia"/>
                <w:highlight w:val="none"/>
              </w:rPr>
              <w:t>10</w:t>
            </w:r>
          </w:p>
        </w:tc>
        <w:tc>
          <w:tcPr>
            <w:tcW w:w="584" w:type="pct"/>
            <w:tcBorders>
              <w:top w:val="single" w:color="000000" w:sz="4" w:space="0"/>
              <w:left w:val="single" w:color="000000" w:sz="4" w:space="0"/>
              <w:bottom w:val="single" w:color="000000" w:sz="4" w:space="0"/>
              <w:right w:val="single" w:color="000000" w:sz="4" w:space="0"/>
            </w:tcBorders>
            <w:vAlign w:val="center"/>
          </w:tcPr>
          <w:p w14:paraId="555D2473">
            <w:pPr>
              <w:pStyle w:val="184"/>
              <w:rPr>
                <w:highlight w:val="none"/>
              </w:rPr>
            </w:pPr>
            <w:r>
              <w:rPr>
                <w:rFonts w:hint="eastAsia"/>
                <w:highlight w:val="none"/>
              </w:rPr>
              <w:t>12</w:t>
            </w:r>
          </w:p>
        </w:tc>
        <w:tc>
          <w:tcPr>
            <w:tcW w:w="710" w:type="pct"/>
            <w:tcBorders>
              <w:top w:val="single" w:color="000000" w:sz="4" w:space="0"/>
              <w:left w:val="single" w:color="000000" w:sz="4" w:space="0"/>
              <w:bottom w:val="single" w:color="000000" w:sz="4" w:space="0"/>
              <w:right w:val="single" w:color="000000" w:sz="4" w:space="0"/>
            </w:tcBorders>
            <w:vAlign w:val="center"/>
          </w:tcPr>
          <w:p w14:paraId="714C3201">
            <w:pPr>
              <w:pStyle w:val="184"/>
              <w:rPr>
                <w:highlight w:val="none"/>
              </w:rPr>
            </w:pPr>
            <w:r>
              <w:rPr>
                <w:rFonts w:hint="eastAsia"/>
                <w:highlight w:val="none"/>
              </w:rPr>
              <w:t>75</w:t>
            </w:r>
          </w:p>
        </w:tc>
        <w:tc>
          <w:tcPr>
            <w:tcW w:w="710" w:type="pct"/>
            <w:tcBorders>
              <w:top w:val="single" w:color="000000" w:sz="4" w:space="0"/>
              <w:left w:val="single" w:color="000000" w:sz="4" w:space="0"/>
              <w:bottom w:val="single" w:color="000000" w:sz="4" w:space="0"/>
              <w:right w:val="single" w:color="000000" w:sz="4" w:space="0"/>
            </w:tcBorders>
            <w:vAlign w:val="center"/>
          </w:tcPr>
          <w:p w14:paraId="13275597">
            <w:pPr>
              <w:pStyle w:val="184"/>
              <w:rPr>
                <w:rFonts w:hint="default" w:eastAsia="宋体"/>
                <w:highlight w:val="none"/>
                <w:lang w:val="en-US" w:eastAsia="zh-CN"/>
              </w:rPr>
            </w:pPr>
            <w:r>
              <w:rPr>
                <w:rFonts w:hint="eastAsia"/>
                <w:highlight w:val="none"/>
                <w:lang w:val="en-US" w:eastAsia="zh-CN"/>
              </w:rPr>
              <w:t>85</w:t>
            </w:r>
          </w:p>
        </w:tc>
        <w:tc>
          <w:tcPr>
            <w:tcW w:w="1157" w:type="pct"/>
            <w:tcBorders>
              <w:top w:val="single" w:color="auto" w:sz="4" w:space="0"/>
              <w:left w:val="single" w:color="000000" w:sz="4" w:space="0"/>
              <w:bottom w:val="single" w:color="000000" w:sz="4" w:space="0"/>
              <w:right w:val="single" w:color="000000" w:sz="4" w:space="0"/>
            </w:tcBorders>
            <w:vAlign w:val="center"/>
          </w:tcPr>
          <w:p w14:paraId="670B33D5">
            <w:pPr>
              <w:pStyle w:val="184"/>
              <w:rPr>
                <w:rFonts w:hint="default" w:eastAsia="宋体"/>
                <w:highlight w:val="none"/>
                <w:lang w:val="en-US" w:eastAsia="zh-CN"/>
              </w:rPr>
            </w:pPr>
          </w:p>
        </w:tc>
        <w:tc>
          <w:tcPr>
            <w:tcW w:w="1185" w:type="pct"/>
            <w:tcBorders>
              <w:top w:val="single" w:color="auto" w:sz="4" w:space="0"/>
              <w:left w:val="single" w:color="000000" w:sz="4" w:space="0"/>
              <w:bottom w:val="single" w:color="000000" w:sz="4" w:space="0"/>
              <w:right w:val="single" w:color="000000" w:sz="4" w:space="0"/>
            </w:tcBorders>
            <w:vAlign w:val="center"/>
          </w:tcPr>
          <w:p w14:paraId="33D05223">
            <w:pPr>
              <w:pStyle w:val="184"/>
              <w:rPr>
                <w:highlight w:val="none"/>
              </w:rPr>
            </w:pPr>
            <w:r>
              <w:rPr>
                <w:rFonts w:hint="eastAsia"/>
                <w:highlight w:val="none"/>
                <w:lang w:val="en-US" w:eastAsia="zh-CN"/>
              </w:rPr>
              <w:t>35</w:t>
            </w:r>
          </w:p>
        </w:tc>
      </w:tr>
      <w:tr w14:paraId="6CF1483D">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4A286A34">
            <w:pPr>
              <w:pStyle w:val="184"/>
              <w:rPr>
                <w:rFonts w:hint="default" w:eastAsia="宋体"/>
                <w:highlight w:val="none"/>
                <w:lang w:val="en-US" w:eastAsia="zh-CN"/>
              </w:rPr>
            </w:pPr>
            <w:r>
              <w:rPr>
                <w:rFonts w:hint="eastAsia"/>
                <w:highlight w:val="none"/>
                <w:lang w:val="en-US" w:eastAsia="zh-CN"/>
              </w:rPr>
              <w:t>15</w:t>
            </w:r>
          </w:p>
        </w:tc>
        <w:tc>
          <w:tcPr>
            <w:tcW w:w="584" w:type="pct"/>
            <w:tcBorders>
              <w:top w:val="single" w:color="000000" w:sz="4" w:space="0"/>
              <w:left w:val="single" w:color="000000" w:sz="4" w:space="0"/>
              <w:bottom w:val="single" w:color="000000" w:sz="4" w:space="0"/>
              <w:right w:val="single" w:color="000000" w:sz="4" w:space="0"/>
            </w:tcBorders>
            <w:vAlign w:val="center"/>
          </w:tcPr>
          <w:p w14:paraId="0B7F38B7">
            <w:pPr>
              <w:pStyle w:val="184"/>
              <w:rPr>
                <w:rFonts w:hint="default" w:eastAsia="宋体"/>
                <w:highlight w:val="none"/>
                <w:lang w:val="en-US" w:eastAsia="zh-CN"/>
              </w:rPr>
            </w:pPr>
            <w:r>
              <w:rPr>
                <w:rFonts w:hint="eastAsia"/>
                <w:highlight w:val="none"/>
                <w:lang w:val="en-US" w:eastAsia="zh-CN"/>
              </w:rPr>
              <w:t>18</w:t>
            </w:r>
          </w:p>
        </w:tc>
        <w:tc>
          <w:tcPr>
            <w:tcW w:w="710" w:type="pct"/>
            <w:tcBorders>
              <w:top w:val="single" w:color="000000" w:sz="4" w:space="0"/>
              <w:left w:val="single" w:color="000000" w:sz="4" w:space="0"/>
              <w:bottom w:val="single" w:color="000000" w:sz="4" w:space="0"/>
              <w:right w:val="single" w:color="000000" w:sz="4" w:space="0"/>
            </w:tcBorders>
            <w:vAlign w:val="center"/>
          </w:tcPr>
          <w:p w14:paraId="2AAF8692">
            <w:pPr>
              <w:pStyle w:val="184"/>
              <w:rPr>
                <w:rFonts w:hint="default" w:eastAsia="宋体"/>
                <w:highlight w:val="none"/>
                <w:lang w:val="en-US" w:eastAsia="zh-CN"/>
              </w:rPr>
            </w:pPr>
            <w:r>
              <w:rPr>
                <w:rFonts w:hint="eastAsia"/>
                <w:highlight w:val="none"/>
                <w:lang w:val="en-US" w:eastAsia="zh-CN"/>
              </w:rPr>
              <w:t>105</w:t>
            </w:r>
          </w:p>
        </w:tc>
        <w:tc>
          <w:tcPr>
            <w:tcW w:w="710" w:type="pct"/>
            <w:tcBorders>
              <w:top w:val="single" w:color="000000" w:sz="4" w:space="0"/>
              <w:left w:val="single" w:color="000000" w:sz="4" w:space="0"/>
              <w:bottom w:val="single" w:color="000000" w:sz="4" w:space="0"/>
              <w:right w:val="single" w:color="000000" w:sz="4" w:space="0"/>
            </w:tcBorders>
            <w:vAlign w:val="center"/>
          </w:tcPr>
          <w:p w14:paraId="2ACA4A75">
            <w:pPr>
              <w:pStyle w:val="184"/>
              <w:rPr>
                <w:rFonts w:hint="default" w:eastAsia="宋体"/>
                <w:highlight w:val="none"/>
                <w:lang w:val="en-US" w:eastAsia="zh-CN"/>
              </w:rPr>
            </w:pPr>
            <w:r>
              <w:rPr>
                <w:rFonts w:hint="eastAsia"/>
                <w:highlight w:val="none"/>
                <w:lang w:val="en-US" w:eastAsia="zh-CN"/>
              </w:rPr>
              <w:t>115</w:t>
            </w:r>
          </w:p>
        </w:tc>
        <w:tc>
          <w:tcPr>
            <w:tcW w:w="1157" w:type="pct"/>
            <w:tcBorders>
              <w:top w:val="single" w:color="000000" w:sz="4" w:space="0"/>
              <w:left w:val="single" w:color="000000" w:sz="4" w:space="0"/>
              <w:bottom w:val="single" w:color="000000" w:sz="4" w:space="0"/>
              <w:right w:val="single" w:color="000000" w:sz="4" w:space="0"/>
            </w:tcBorders>
            <w:vAlign w:val="center"/>
          </w:tcPr>
          <w:p w14:paraId="2D9745EB">
            <w:pPr>
              <w:pStyle w:val="184"/>
              <w:rPr>
                <w:highlight w:val="none"/>
              </w:rPr>
            </w:pPr>
          </w:p>
        </w:tc>
        <w:tc>
          <w:tcPr>
            <w:tcW w:w="1185" w:type="pct"/>
            <w:tcBorders>
              <w:top w:val="single" w:color="000000" w:sz="4" w:space="0"/>
              <w:left w:val="single" w:color="000000" w:sz="4" w:space="0"/>
              <w:bottom w:val="single" w:color="000000" w:sz="4" w:space="0"/>
              <w:right w:val="single" w:color="000000" w:sz="4" w:space="0"/>
            </w:tcBorders>
            <w:vAlign w:val="center"/>
          </w:tcPr>
          <w:p w14:paraId="1F6212ED">
            <w:pPr>
              <w:pStyle w:val="184"/>
              <w:rPr>
                <w:rFonts w:hint="default" w:eastAsia="宋体"/>
                <w:highlight w:val="none"/>
                <w:lang w:val="en-US" w:eastAsia="zh-CN"/>
              </w:rPr>
            </w:pPr>
            <w:r>
              <w:rPr>
                <w:rFonts w:hint="eastAsia"/>
                <w:highlight w:val="none"/>
                <w:lang w:val="en-US" w:eastAsia="zh-CN"/>
              </w:rPr>
              <w:t>45</w:t>
            </w:r>
          </w:p>
        </w:tc>
      </w:tr>
      <w:tr w14:paraId="25A01DBB">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2150E594">
            <w:pPr>
              <w:pStyle w:val="184"/>
              <w:rPr>
                <w:rFonts w:hint="default" w:eastAsia="宋体"/>
                <w:highlight w:val="none"/>
                <w:lang w:val="en-US" w:eastAsia="zh-CN"/>
              </w:rPr>
            </w:pPr>
            <w:r>
              <w:rPr>
                <w:rFonts w:hint="eastAsia"/>
                <w:highlight w:val="none"/>
                <w:lang w:val="en-US" w:eastAsia="zh-CN"/>
              </w:rPr>
              <w:t>20</w:t>
            </w:r>
          </w:p>
        </w:tc>
        <w:tc>
          <w:tcPr>
            <w:tcW w:w="584" w:type="pct"/>
            <w:tcBorders>
              <w:top w:val="single" w:color="000000" w:sz="4" w:space="0"/>
              <w:left w:val="single" w:color="000000" w:sz="4" w:space="0"/>
              <w:bottom w:val="single" w:color="000000" w:sz="4" w:space="0"/>
              <w:right w:val="single" w:color="000000" w:sz="4" w:space="0"/>
            </w:tcBorders>
            <w:vAlign w:val="center"/>
          </w:tcPr>
          <w:p w14:paraId="37842D4B">
            <w:pPr>
              <w:pStyle w:val="184"/>
              <w:rPr>
                <w:rFonts w:hint="default" w:eastAsia="宋体"/>
                <w:highlight w:val="none"/>
                <w:lang w:val="en-US" w:eastAsia="zh-CN"/>
              </w:rPr>
            </w:pPr>
            <w:r>
              <w:rPr>
                <w:rFonts w:hint="eastAsia"/>
                <w:highlight w:val="none"/>
                <w:lang w:val="en-US" w:eastAsia="zh-CN"/>
              </w:rPr>
              <w:t>24</w:t>
            </w:r>
          </w:p>
        </w:tc>
        <w:tc>
          <w:tcPr>
            <w:tcW w:w="710" w:type="pct"/>
            <w:tcBorders>
              <w:top w:val="single" w:color="000000" w:sz="4" w:space="0"/>
              <w:left w:val="single" w:color="000000" w:sz="4" w:space="0"/>
              <w:bottom w:val="single" w:color="000000" w:sz="4" w:space="0"/>
              <w:right w:val="single" w:color="000000" w:sz="4" w:space="0"/>
            </w:tcBorders>
            <w:vAlign w:val="center"/>
          </w:tcPr>
          <w:p w14:paraId="64CA5782">
            <w:pPr>
              <w:pStyle w:val="184"/>
              <w:rPr>
                <w:rFonts w:hint="default" w:eastAsia="宋体"/>
                <w:highlight w:val="none"/>
                <w:lang w:val="en-US" w:eastAsia="zh-CN"/>
              </w:rPr>
            </w:pPr>
            <w:r>
              <w:rPr>
                <w:rFonts w:hint="eastAsia"/>
                <w:highlight w:val="none"/>
                <w:lang w:val="en-US" w:eastAsia="zh-CN"/>
              </w:rPr>
              <w:t>125</w:t>
            </w:r>
          </w:p>
        </w:tc>
        <w:tc>
          <w:tcPr>
            <w:tcW w:w="710" w:type="pct"/>
            <w:tcBorders>
              <w:top w:val="single" w:color="000000" w:sz="4" w:space="0"/>
              <w:left w:val="single" w:color="000000" w:sz="4" w:space="0"/>
              <w:bottom w:val="single" w:color="000000" w:sz="4" w:space="0"/>
              <w:right w:val="single" w:color="000000" w:sz="4" w:space="0"/>
            </w:tcBorders>
            <w:vAlign w:val="center"/>
          </w:tcPr>
          <w:p w14:paraId="418BF815">
            <w:pPr>
              <w:pStyle w:val="184"/>
              <w:rPr>
                <w:rFonts w:hint="default" w:eastAsia="宋体"/>
                <w:highlight w:val="none"/>
                <w:lang w:val="en-US" w:eastAsia="zh-CN"/>
              </w:rPr>
            </w:pPr>
            <w:r>
              <w:rPr>
                <w:rFonts w:hint="eastAsia"/>
                <w:highlight w:val="none"/>
                <w:lang w:val="en-US" w:eastAsia="zh-CN"/>
              </w:rPr>
              <w:t>140</w:t>
            </w:r>
          </w:p>
        </w:tc>
        <w:tc>
          <w:tcPr>
            <w:tcW w:w="1157" w:type="pct"/>
            <w:tcBorders>
              <w:top w:val="single" w:color="000000" w:sz="4" w:space="0"/>
              <w:left w:val="single" w:color="000000" w:sz="4" w:space="0"/>
              <w:bottom w:val="single" w:color="000000" w:sz="4" w:space="0"/>
              <w:right w:val="single" w:color="000000" w:sz="4" w:space="0"/>
            </w:tcBorders>
            <w:vAlign w:val="center"/>
          </w:tcPr>
          <w:p w14:paraId="31B92003">
            <w:pPr>
              <w:pStyle w:val="184"/>
              <w:rPr>
                <w:highlight w:val="none"/>
              </w:rPr>
            </w:pPr>
          </w:p>
        </w:tc>
        <w:tc>
          <w:tcPr>
            <w:tcW w:w="1185" w:type="pct"/>
            <w:tcBorders>
              <w:top w:val="single" w:color="000000" w:sz="4" w:space="0"/>
              <w:left w:val="single" w:color="000000" w:sz="4" w:space="0"/>
              <w:bottom w:val="single" w:color="000000" w:sz="4" w:space="0"/>
              <w:right w:val="single" w:color="000000" w:sz="4" w:space="0"/>
            </w:tcBorders>
            <w:vAlign w:val="center"/>
          </w:tcPr>
          <w:p w14:paraId="260DD986">
            <w:pPr>
              <w:pStyle w:val="184"/>
              <w:rPr>
                <w:rFonts w:hint="default" w:eastAsia="宋体"/>
                <w:highlight w:val="none"/>
                <w:lang w:val="en-US" w:eastAsia="zh-CN"/>
              </w:rPr>
            </w:pPr>
            <w:r>
              <w:rPr>
                <w:rFonts w:hint="eastAsia"/>
                <w:highlight w:val="none"/>
                <w:lang w:val="en-US" w:eastAsia="zh-CN"/>
              </w:rPr>
              <w:t>55</w:t>
            </w:r>
          </w:p>
        </w:tc>
      </w:tr>
      <w:tr w14:paraId="2255A24E">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5904280F">
            <w:pPr>
              <w:pStyle w:val="184"/>
              <w:rPr>
                <w:highlight w:val="none"/>
              </w:rPr>
            </w:pPr>
            <w:r>
              <w:rPr>
                <w:rFonts w:hint="eastAsia"/>
                <w:highlight w:val="none"/>
              </w:rPr>
              <w:t>35</w:t>
            </w:r>
          </w:p>
        </w:tc>
        <w:tc>
          <w:tcPr>
            <w:tcW w:w="584" w:type="pct"/>
            <w:tcBorders>
              <w:top w:val="single" w:color="000000" w:sz="4" w:space="0"/>
              <w:left w:val="single" w:color="000000" w:sz="4" w:space="0"/>
              <w:bottom w:val="single" w:color="000000" w:sz="4" w:space="0"/>
              <w:right w:val="single" w:color="000000" w:sz="4" w:space="0"/>
            </w:tcBorders>
            <w:vAlign w:val="center"/>
          </w:tcPr>
          <w:p w14:paraId="0F81A7E3">
            <w:pPr>
              <w:pStyle w:val="184"/>
              <w:rPr>
                <w:highlight w:val="none"/>
              </w:rPr>
            </w:pPr>
            <w:r>
              <w:rPr>
                <w:rFonts w:hint="eastAsia"/>
                <w:highlight w:val="none"/>
              </w:rPr>
              <w:t>40.5</w:t>
            </w:r>
          </w:p>
        </w:tc>
        <w:tc>
          <w:tcPr>
            <w:tcW w:w="710" w:type="pct"/>
            <w:tcBorders>
              <w:top w:val="single" w:color="000000" w:sz="4" w:space="0"/>
              <w:left w:val="single" w:color="000000" w:sz="4" w:space="0"/>
              <w:bottom w:val="single" w:color="000000" w:sz="4" w:space="0"/>
              <w:right w:val="single" w:color="000000" w:sz="4" w:space="0"/>
            </w:tcBorders>
            <w:vAlign w:val="center"/>
          </w:tcPr>
          <w:p w14:paraId="7C125A2C">
            <w:pPr>
              <w:pStyle w:val="184"/>
              <w:rPr>
                <w:highlight w:val="none"/>
              </w:rPr>
            </w:pPr>
            <w:r>
              <w:rPr>
                <w:rFonts w:hint="eastAsia"/>
                <w:highlight w:val="none"/>
              </w:rPr>
              <w:t>200</w:t>
            </w:r>
          </w:p>
        </w:tc>
        <w:tc>
          <w:tcPr>
            <w:tcW w:w="710" w:type="pct"/>
            <w:tcBorders>
              <w:top w:val="single" w:color="000000" w:sz="4" w:space="0"/>
              <w:left w:val="single" w:color="000000" w:sz="4" w:space="0"/>
              <w:bottom w:val="single" w:color="000000" w:sz="4" w:space="0"/>
              <w:right w:val="single" w:color="000000" w:sz="4" w:space="0"/>
            </w:tcBorders>
            <w:vAlign w:val="center"/>
          </w:tcPr>
          <w:p w14:paraId="671A385A">
            <w:pPr>
              <w:pStyle w:val="184"/>
              <w:rPr>
                <w:highlight w:val="none"/>
              </w:rPr>
            </w:pPr>
            <w:r>
              <w:rPr>
                <w:rFonts w:hint="eastAsia"/>
                <w:highlight w:val="none"/>
              </w:rPr>
              <w:t>200</w:t>
            </w:r>
          </w:p>
        </w:tc>
        <w:tc>
          <w:tcPr>
            <w:tcW w:w="1157" w:type="pct"/>
            <w:tcBorders>
              <w:top w:val="single" w:color="000000" w:sz="4" w:space="0"/>
              <w:left w:val="single" w:color="000000" w:sz="4" w:space="0"/>
              <w:bottom w:val="single" w:color="000000" w:sz="4" w:space="0"/>
              <w:right w:val="single" w:color="000000" w:sz="4" w:space="0"/>
            </w:tcBorders>
            <w:vAlign w:val="center"/>
          </w:tcPr>
          <w:p w14:paraId="73F0C3F6">
            <w:pPr>
              <w:pStyle w:val="184"/>
              <w:rPr>
                <w:highlight w:val="none"/>
              </w:rPr>
            </w:pPr>
          </w:p>
        </w:tc>
        <w:tc>
          <w:tcPr>
            <w:tcW w:w="1185" w:type="pct"/>
            <w:tcBorders>
              <w:top w:val="single" w:color="000000" w:sz="4" w:space="0"/>
              <w:left w:val="single" w:color="000000" w:sz="4" w:space="0"/>
              <w:bottom w:val="single" w:color="000000" w:sz="4" w:space="0"/>
              <w:right w:val="single" w:color="000000" w:sz="4" w:space="0"/>
            </w:tcBorders>
            <w:vAlign w:val="center"/>
          </w:tcPr>
          <w:p w14:paraId="769AAA73">
            <w:pPr>
              <w:pStyle w:val="184"/>
              <w:rPr>
                <w:highlight w:val="none"/>
              </w:rPr>
            </w:pPr>
            <w:r>
              <w:rPr>
                <w:rFonts w:hint="eastAsia"/>
                <w:highlight w:val="none"/>
              </w:rPr>
              <w:t>85</w:t>
            </w:r>
          </w:p>
        </w:tc>
      </w:tr>
      <w:tr w14:paraId="6E42D423">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3FDFDA27">
            <w:pPr>
              <w:pStyle w:val="184"/>
              <w:rPr>
                <w:rFonts w:hint="default" w:eastAsia="宋体"/>
                <w:highlight w:val="none"/>
                <w:lang w:val="en-US" w:eastAsia="zh-CN"/>
              </w:rPr>
            </w:pPr>
            <w:r>
              <w:rPr>
                <w:rFonts w:hint="eastAsia"/>
                <w:highlight w:val="none"/>
                <w:lang w:val="en-US" w:eastAsia="zh-CN"/>
              </w:rPr>
              <w:t>66</w:t>
            </w:r>
          </w:p>
        </w:tc>
        <w:tc>
          <w:tcPr>
            <w:tcW w:w="584" w:type="pct"/>
            <w:tcBorders>
              <w:top w:val="single" w:color="000000" w:sz="4" w:space="0"/>
              <w:left w:val="single" w:color="000000" w:sz="4" w:space="0"/>
              <w:bottom w:val="single" w:color="000000" w:sz="4" w:space="0"/>
              <w:right w:val="single" w:color="000000" w:sz="4" w:space="0"/>
            </w:tcBorders>
            <w:vAlign w:val="center"/>
          </w:tcPr>
          <w:p w14:paraId="189E4791">
            <w:pPr>
              <w:pStyle w:val="184"/>
              <w:rPr>
                <w:rFonts w:hint="default" w:eastAsia="宋体"/>
                <w:highlight w:val="none"/>
                <w:lang w:val="en-US" w:eastAsia="zh-CN"/>
              </w:rPr>
            </w:pPr>
            <w:r>
              <w:rPr>
                <w:rFonts w:hint="eastAsia"/>
                <w:highlight w:val="none"/>
                <w:lang w:val="en-US" w:eastAsia="zh-CN"/>
              </w:rPr>
              <w:t>72.5</w:t>
            </w:r>
          </w:p>
        </w:tc>
        <w:tc>
          <w:tcPr>
            <w:tcW w:w="710" w:type="pct"/>
            <w:tcBorders>
              <w:top w:val="single" w:color="000000" w:sz="4" w:space="0"/>
              <w:left w:val="single" w:color="000000" w:sz="4" w:space="0"/>
              <w:bottom w:val="single" w:color="000000" w:sz="4" w:space="0"/>
              <w:right w:val="single" w:color="000000" w:sz="4" w:space="0"/>
            </w:tcBorders>
            <w:vAlign w:val="center"/>
          </w:tcPr>
          <w:p w14:paraId="340101C9">
            <w:pPr>
              <w:pStyle w:val="184"/>
              <w:rPr>
                <w:rFonts w:hint="default" w:eastAsia="宋体"/>
                <w:highlight w:val="none"/>
                <w:lang w:val="en-US" w:eastAsia="zh-CN"/>
              </w:rPr>
            </w:pPr>
            <w:r>
              <w:rPr>
                <w:rFonts w:hint="eastAsia"/>
                <w:highlight w:val="none"/>
                <w:lang w:val="en-US" w:eastAsia="zh-CN"/>
              </w:rPr>
              <w:t>325</w:t>
            </w:r>
          </w:p>
        </w:tc>
        <w:tc>
          <w:tcPr>
            <w:tcW w:w="710" w:type="pct"/>
            <w:tcBorders>
              <w:top w:val="single" w:color="000000" w:sz="4" w:space="0"/>
              <w:left w:val="single" w:color="000000" w:sz="4" w:space="0"/>
              <w:bottom w:val="single" w:color="000000" w:sz="4" w:space="0"/>
              <w:right w:val="single" w:color="000000" w:sz="4" w:space="0"/>
            </w:tcBorders>
            <w:vAlign w:val="center"/>
          </w:tcPr>
          <w:p w14:paraId="124B846A">
            <w:pPr>
              <w:pStyle w:val="184"/>
              <w:rPr>
                <w:rFonts w:hint="default" w:eastAsia="宋体"/>
                <w:highlight w:val="none"/>
                <w:lang w:val="en-US" w:eastAsia="zh-CN"/>
              </w:rPr>
            </w:pPr>
            <w:r>
              <w:rPr>
                <w:rFonts w:hint="eastAsia"/>
                <w:highlight w:val="none"/>
                <w:lang w:val="en-US" w:eastAsia="zh-CN"/>
              </w:rPr>
              <w:t>360</w:t>
            </w:r>
          </w:p>
        </w:tc>
        <w:tc>
          <w:tcPr>
            <w:tcW w:w="1157" w:type="pct"/>
            <w:tcBorders>
              <w:top w:val="single" w:color="000000" w:sz="4" w:space="0"/>
              <w:left w:val="single" w:color="000000" w:sz="4" w:space="0"/>
              <w:bottom w:val="single" w:color="000000" w:sz="4" w:space="0"/>
              <w:right w:val="single" w:color="000000" w:sz="4" w:space="0"/>
            </w:tcBorders>
            <w:vAlign w:val="center"/>
          </w:tcPr>
          <w:p w14:paraId="66D05DB4">
            <w:pPr>
              <w:pStyle w:val="184"/>
              <w:rPr>
                <w:rFonts w:hint="eastAsia"/>
                <w:highlight w:val="none"/>
              </w:rPr>
            </w:pPr>
          </w:p>
        </w:tc>
        <w:tc>
          <w:tcPr>
            <w:tcW w:w="1185" w:type="pct"/>
            <w:tcBorders>
              <w:top w:val="single" w:color="000000" w:sz="4" w:space="0"/>
              <w:left w:val="single" w:color="000000" w:sz="4" w:space="0"/>
              <w:bottom w:val="single" w:color="000000" w:sz="4" w:space="0"/>
              <w:right w:val="single" w:color="000000" w:sz="4" w:space="0"/>
            </w:tcBorders>
            <w:vAlign w:val="center"/>
          </w:tcPr>
          <w:p w14:paraId="03BDADAD">
            <w:pPr>
              <w:pStyle w:val="184"/>
              <w:rPr>
                <w:rFonts w:hint="default" w:eastAsia="宋体"/>
                <w:highlight w:val="none"/>
                <w:lang w:val="en-US" w:eastAsia="zh-CN"/>
              </w:rPr>
            </w:pPr>
            <w:r>
              <w:rPr>
                <w:rFonts w:hint="eastAsia"/>
                <w:highlight w:val="none"/>
                <w:lang w:val="en-US" w:eastAsia="zh-CN"/>
              </w:rPr>
              <w:t>140</w:t>
            </w:r>
          </w:p>
        </w:tc>
      </w:tr>
      <w:tr w14:paraId="55D75A77">
        <w:tblPrEx>
          <w:tblCellMar>
            <w:top w:w="0" w:type="dxa"/>
            <w:left w:w="108" w:type="dxa"/>
            <w:bottom w:w="0" w:type="dxa"/>
            <w:right w:w="108" w:type="dxa"/>
          </w:tblCellMar>
        </w:tblPrEx>
        <w:trPr>
          <w:trHeight w:val="20" w:hRule="atLeast"/>
        </w:trPr>
        <w:tc>
          <w:tcPr>
            <w:tcW w:w="652" w:type="pct"/>
            <w:tcBorders>
              <w:top w:val="single" w:color="000000" w:sz="4" w:space="0"/>
              <w:left w:val="single" w:color="000000" w:sz="4" w:space="0"/>
              <w:bottom w:val="single" w:color="000000" w:sz="4" w:space="0"/>
              <w:right w:val="single" w:color="000000" w:sz="4" w:space="0"/>
            </w:tcBorders>
            <w:vAlign w:val="center"/>
          </w:tcPr>
          <w:p w14:paraId="4D3F89B2">
            <w:pPr>
              <w:pStyle w:val="184"/>
              <w:rPr>
                <w:rFonts w:hint="default" w:eastAsia="宋体"/>
                <w:highlight w:val="none"/>
                <w:lang w:val="en-US" w:eastAsia="zh-CN"/>
              </w:rPr>
            </w:pPr>
            <w:r>
              <w:rPr>
                <w:rFonts w:hint="eastAsia"/>
                <w:highlight w:val="none"/>
                <w:lang w:val="en-US" w:eastAsia="zh-CN"/>
              </w:rPr>
              <w:t>110</w:t>
            </w:r>
          </w:p>
        </w:tc>
        <w:tc>
          <w:tcPr>
            <w:tcW w:w="584" w:type="pct"/>
            <w:tcBorders>
              <w:top w:val="single" w:color="000000" w:sz="4" w:space="0"/>
              <w:left w:val="single" w:color="000000" w:sz="4" w:space="0"/>
              <w:bottom w:val="single" w:color="000000" w:sz="4" w:space="0"/>
              <w:right w:val="single" w:color="000000" w:sz="4" w:space="0"/>
            </w:tcBorders>
            <w:vAlign w:val="center"/>
          </w:tcPr>
          <w:p w14:paraId="26872B61">
            <w:pPr>
              <w:pStyle w:val="184"/>
              <w:rPr>
                <w:rFonts w:hint="default" w:eastAsia="宋体"/>
                <w:highlight w:val="none"/>
                <w:lang w:val="en-US" w:eastAsia="zh-CN"/>
              </w:rPr>
            </w:pPr>
            <w:r>
              <w:rPr>
                <w:rFonts w:hint="eastAsia"/>
                <w:highlight w:val="none"/>
                <w:lang w:val="en-US" w:eastAsia="zh-CN"/>
              </w:rPr>
              <w:t>126</w:t>
            </w:r>
          </w:p>
        </w:tc>
        <w:tc>
          <w:tcPr>
            <w:tcW w:w="710" w:type="pct"/>
            <w:tcBorders>
              <w:top w:val="single" w:color="000000" w:sz="4" w:space="0"/>
              <w:left w:val="single" w:color="000000" w:sz="4" w:space="0"/>
              <w:bottom w:val="single" w:color="000000" w:sz="4" w:space="0"/>
              <w:right w:val="single" w:color="000000" w:sz="4" w:space="0"/>
            </w:tcBorders>
            <w:vAlign w:val="center"/>
          </w:tcPr>
          <w:p w14:paraId="6EC1BA5E">
            <w:pPr>
              <w:pStyle w:val="184"/>
              <w:rPr>
                <w:rFonts w:hint="default" w:eastAsia="宋体"/>
                <w:highlight w:val="none"/>
                <w:lang w:val="en-US" w:eastAsia="zh-CN"/>
              </w:rPr>
            </w:pPr>
            <w:r>
              <w:rPr>
                <w:rFonts w:hint="eastAsia"/>
                <w:highlight w:val="none"/>
                <w:lang w:val="en-US" w:eastAsia="zh-CN"/>
              </w:rPr>
              <w:t>480</w:t>
            </w:r>
          </w:p>
        </w:tc>
        <w:tc>
          <w:tcPr>
            <w:tcW w:w="710" w:type="pct"/>
            <w:tcBorders>
              <w:top w:val="single" w:color="000000" w:sz="4" w:space="0"/>
              <w:left w:val="single" w:color="000000" w:sz="4" w:space="0"/>
              <w:bottom w:val="single" w:color="000000" w:sz="4" w:space="0"/>
              <w:right w:val="single" w:color="000000" w:sz="4" w:space="0"/>
            </w:tcBorders>
            <w:vAlign w:val="center"/>
          </w:tcPr>
          <w:p w14:paraId="5AC9A848">
            <w:pPr>
              <w:pStyle w:val="184"/>
              <w:rPr>
                <w:rFonts w:hint="default" w:eastAsia="宋体"/>
                <w:highlight w:val="none"/>
                <w:lang w:val="en-US" w:eastAsia="zh-CN"/>
              </w:rPr>
            </w:pPr>
            <w:r>
              <w:rPr>
                <w:rFonts w:hint="eastAsia"/>
                <w:highlight w:val="none"/>
                <w:lang w:val="en-US" w:eastAsia="zh-CN"/>
              </w:rPr>
              <w:t>530</w:t>
            </w:r>
          </w:p>
        </w:tc>
        <w:tc>
          <w:tcPr>
            <w:tcW w:w="1157" w:type="pct"/>
            <w:tcBorders>
              <w:top w:val="single" w:color="000000" w:sz="4" w:space="0"/>
              <w:left w:val="single" w:color="000000" w:sz="4" w:space="0"/>
              <w:bottom w:val="single" w:color="000000" w:sz="4" w:space="0"/>
              <w:right w:val="single" w:color="000000" w:sz="4" w:space="0"/>
            </w:tcBorders>
            <w:vAlign w:val="center"/>
          </w:tcPr>
          <w:p w14:paraId="500E2727">
            <w:pPr>
              <w:pStyle w:val="184"/>
              <w:rPr>
                <w:rFonts w:hint="default" w:eastAsia="宋体"/>
                <w:highlight w:val="none"/>
                <w:lang w:val="en-US" w:eastAsia="zh-CN"/>
              </w:rPr>
            </w:pPr>
            <w:r>
              <w:rPr>
                <w:rFonts w:hint="eastAsia"/>
                <w:highlight w:val="none"/>
                <w:lang w:val="en-US" w:eastAsia="zh-CN"/>
              </w:rPr>
              <w:t>395</w:t>
            </w:r>
          </w:p>
        </w:tc>
        <w:tc>
          <w:tcPr>
            <w:tcW w:w="1185" w:type="pct"/>
            <w:tcBorders>
              <w:top w:val="single" w:color="000000" w:sz="4" w:space="0"/>
              <w:left w:val="single" w:color="000000" w:sz="4" w:space="0"/>
              <w:bottom w:val="single" w:color="000000" w:sz="4" w:space="0"/>
              <w:right w:val="single" w:color="000000" w:sz="4" w:space="0"/>
            </w:tcBorders>
            <w:vAlign w:val="center"/>
          </w:tcPr>
          <w:p w14:paraId="627D1DAD">
            <w:pPr>
              <w:pStyle w:val="184"/>
              <w:rPr>
                <w:rFonts w:hint="default" w:eastAsia="宋体"/>
                <w:highlight w:val="none"/>
                <w:lang w:val="en-US" w:eastAsia="zh-CN"/>
              </w:rPr>
            </w:pPr>
            <w:r>
              <w:rPr>
                <w:rFonts w:hint="eastAsia"/>
                <w:highlight w:val="none"/>
                <w:lang w:val="en-US" w:eastAsia="zh-CN"/>
              </w:rPr>
              <w:t>200</w:t>
            </w:r>
          </w:p>
        </w:tc>
      </w:tr>
      <w:tr w14:paraId="57A84DD5">
        <w:tblPrEx>
          <w:tblCellMar>
            <w:top w:w="0" w:type="dxa"/>
            <w:left w:w="108" w:type="dxa"/>
            <w:bottom w:w="0" w:type="dxa"/>
            <w:right w:w="108" w:type="dxa"/>
          </w:tblCellMar>
        </w:tblPrEx>
        <w:trPr>
          <w:trHeight w:val="20" w:hRule="atLeast"/>
        </w:trPr>
        <w:tc>
          <w:tcPr>
            <w:tcW w:w="652" w:type="pct"/>
            <w:vMerge w:val="restart"/>
            <w:tcBorders>
              <w:top w:val="single" w:color="000000" w:sz="4" w:space="0"/>
              <w:left w:val="single" w:color="000000" w:sz="4" w:space="0"/>
              <w:right w:val="single" w:color="000000" w:sz="4" w:space="0"/>
            </w:tcBorders>
            <w:vAlign w:val="center"/>
          </w:tcPr>
          <w:p w14:paraId="1ACAB4A5">
            <w:pPr>
              <w:pStyle w:val="184"/>
              <w:rPr>
                <w:rFonts w:hint="default" w:eastAsia="宋体"/>
                <w:highlight w:val="none"/>
                <w:lang w:val="en-US" w:eastAsia="zh-CN"/>
              </w:rPr>
            </w:pPr>
            <w:r>
              <w:rPr>
                <w:rFonts w:hint="eastAsia"/>
                <w:highlight w:val="none"/>
                <w:lang w:val="en-US" w:eastAsia="zh-CN"/>
              </w:rPr>
              <w:t>220</w:t>
            </w:r>
          </w:p>
        </w:tc>
        <w:tc>
          <w:tcPr>
            <w:tcW w:w="584" w:type="pct"/>
            <w:tcBorders>
              <w:top w:val="single" w:color="000000" w:sz="4" w:space="0"/>
              <w:left w:val="single" w:color="000000" w:sz="4" w:space="0"/>
              <w:bottom w:val="single" w:color="000000" w:sz="4" w:space="0"/>
              <w:right w:val="single" w:color="000000" w:sz="4" w:space="0"/>
            </w:tcBorders>
            <w:vAlign w:val="center"/>
          </w:tcPr>
          <w:p w14:paraId="51166132">
            <w:pPr>
              <w:pStyle w:val="184"/>
              <w:rPr>
                <w:rFonts w:hint="default" w:eastAsia="宋体"/>
                <w:highlight w:val="none"/>
                <w:lang w:val="en-US" w:eastAsia="zh-CN"/>
              </w:rPr>
            </w:pPr>
            <w:r>
              <w:rPr>
                <w:rFonts w:hint="eastAsia"/>
                <w:highlight w:val="none"/>
                <w:lang w:val="en-US" w:eastAsia="zh-CN"/>
              </w:rPr>
              <w:t>252</w:t>
            </w:r>
          </w:p>
        </w:tc>
        <w:tc>
          <w:tcPr>
            <w:tcW w:w="710" w:type="pct"/>
            <w:tcBorders>
              <w:top w:val="single" w:color="000000" w:sz="4" w:space="0"/>
              <w:left w:val="single" w:color="000000" w:sz="4" w:space="0"/>
              <w:bottom w:val="single" w:color="000000" w:sz="4" w:space="0"/>
              <w:right w:val="single" w:color="000000" w:sz="4" w:space="0"/>
            </w:tcBorders>
            <w:vAlign w:val="center"/>
          </w:tcPr>
          <w:p w14:paraId="03D3C439">
            <w:pPr>
              <w:pStyle w:val="184"/>
              <w:rPr>
                <w:rFonts w:hint="default" w:eastAsia="宋体"/>
                <w:highlight w:val="none"/>
                <w:lang w:val="en-US" w:eastAsia="zh-CN"/>
              </w:rPr>
            </w:pPr>
            <w:r>
              <w:rPr>
                <w:rFonts w:hint="eastAsia"/>
                <w:highlight w:val="none"/>
                <w:lang w:val="en-US" w:eastAsia="zh-CN"/>
              </w:rPr>
              <w:t>850</w:t>
            </w:r>
          </w:p>
        </w:tc>
        <w:tc>
          <w:tcPr>
            <w:tcW w:w="710" w:type="pct"/>
            <w:tcBorders>
              <w:top w:val="single" w:color="000000" w:sz="4" w:space="0"/>
              <w:left w:val="single" w:color="000000" w:sz="4" w:space="0"/>
              <w:bottom w:val="single" w:color="000000" w:sz="4" w:space="0"/>
              <w:right w:val="single" w:color="000000" w:sz="4" w:space="0"/>
            </w:tcBorders>
            <w:vAlign w:val="center"/>
          </w:tcPr>
          <w:p w14:paraId="6E245086">
            <w:pPr>
              <w:pStyle w:val="184"/>
              <w:rPr>
                <w:rFonts w:hint="default" w:eastAsia="宋体"/>
                <w:highlight w:val="none"/>
                <w:lang w:val="en-US" w:eastAsia="zh-CN"/>
              </w:rPr>
            </w:pPr>
            <w:r>
              <w:rPr>
                <w:rFonts w:hint="eastAsia"/>
                <w:highlight w:val="none"/>
                <w:lang w:val="en-US" w:eastAsia="zh-CN"/>
              </w:rPr>
              <w:t>950</w:t>
            </w:r>
          </w:p>
        </w:tc>
        <w:tc>
          <w:tcPr>
            <w:tcW w:w="1157" w:type="pct"/>
            <w:tcBorders>
              <w:top w:val="single" w:color="000000" w:sz="4" w:space="0"/>
              <w:left w:val="single" w:color="000000" w:sz="4" w:space="0"/>
              <w:bottom w:val="single" w:color="000000" w:sz="4" w:space="0"/>
              <w:right w:val="single" w:color="000000" w:sz="4" w:space="0"/>
            </w:tcBorders>
            <w:vAlign w:val="center"/>
          </w:tcPr>
          <w:p w14:paraId="74B96A3C">
            <w:pPr>
              <w:pStyle w:val="184"/>
              <w:rPr>
                <w:rFonts w:hint="default" w:eastAsia="宋体"/>
                <w:highlight w:val="none"/>
                <w:lang w:val="en-US" w:eastAsia="zh-CN"/>
              </w:rPr>
            </w:pPr>
            <w:r>
              <w:rPr>
                <w:rFonts w:hint="eastAsia"/>
                <w:highlight w:val="none"/>
                <w:lang w:val="en-US" w:eastAsia="zh-CN"/>
              </w:rPr>
              <w:t>650</w:t>
            </w:r>
          </w:p>
        </w:tc>
        <w:tc>
          <w:tcPr>
            <w:tcW w:w="1185" w:type="pct"/>
            <w:tcBorders>
              <w:top w:val="single" w:color="000000" w:sz="4" w:space="0"/>
              <w:left w:val="single" w:color="000000" w:sz="4" w:space="0"/>
              <w:bottom w:val="single" w:color="000000" w:sz="4" w:space="0"/>
              <w:right w:val="single" w:color="000000" w:sz="4" w:space="0"/>
            </w:tcBorders>
            <w:vAlign w:val="center"/>
          </w:tcPr>
          <w:p w14:paraId="343DE4D8">
            <w:pPr>
              <w:pStyle w:val="184"/>
              <w:rPr>
                <w:rFonts w:hint="default" w:eastAsia="宋体"/>
                <w:highlight w:val="none"/>
                <w:lang w:val="en-US" w:eastAsia="zh-CN"/>
              </w:rPr>
            </w:pPr>
            <w:r>
              <w:rPr>
                <w:rFonts w:hint="eastAsia"/>
                <w:highlight w:val="none"/>
                <w:lang w:val="en-US" w:eastAsia="zh-CN"/>
              </w:rPr>
              <w:t>360</w:t>
            </w:r>
          </w:p>
        </w:tc>
      </w:tr>
      <w:tr w14:paraId="49BBC72C">
        <w:tblPrEx>
          <w:tblCellMar>
            <w:top w:w="0" w:type="dxa"/>
            <w:left w:w="108" w:type="dxa"/>
            <w:bottom w:w="0" w:type="dxa"/>
            <w:right w:w="108" w:type="dxa"/>
          </w:tblCellMar>
        </w:tblPrEx>
        <w:trPr>
          <w:trHeight w:val="20" w:hRule="atLeast"/>
        </w:trPr>
        <w:tc>
          <w:tcPr>
            <w:tcW w:w="652" w:type="pct"/>
            <w:vMerge w:val="continue"/>
            <w:tcBorders>
              <w:left w:val="single" w:color="000000" w:sz="4" w:space="0"/>
              <w:bottom w:val="single" w:color="000000" w:sz="4" w:space="0"/>
              <w:right w:val="single" w:color="000000" w:sz="4" w:space="0"/>
            </w:tcBorders>
            <w:vAlign w:val="center"/>
          </w:tcPr>
          <w:p w14:paraId="71400AC4">
            <w:pPr>
              <w:pStyle w:val="184"/>
              <w:rPr>
                <w:rFonts w:hint="eastAsia"/>
                <w:highlight w:val="none"/>
              </w:rPr>
            </w:pPr>
          </w:p>
        </w:tc>
        <w:tc>
          <w:tcPr>
            <w:tcW w:w="584" w:type="pct"/>
            <w:tcBorders>
              <w:top w:val="single" w:color="000000" w:sz="4" w:space="0"/>
              <w:left w:val="single" w:color="000000" w:sz="4" w:space="0"/>
              <w:bottom w:val="single" w:color="000000" w:sz="4" w:space="0"/>
              <w:right w:val="single" w:color="000000" w:sz="4" w:space="0"/>
            </w:tcBorders>
            <w:vAlign w:val="center"/>
          </w:tcPr>
          <w:p w14:paraId="1C16BEA8">
            <w:pPr>
              <w:pStyle w:val="184"/>
              <w:rPr>
                <w:rFonts w:hint="eastAsia"/>
                <w:highlight w:val="none"/>
              </w:rPr>
            </w:pPr>
          </w:p>
        </w:tc>
        <w:tc>
          <w:tcPr>
            <w:tcW w:w="710" w:type="pct"/>
            <w:tcBorders>
              <w:top w:val="single" w:color="000000" w:sz="4" w:space="0"/>
              <w:left w:val="single" w:color="000000" w:sz="4" w:space="0"/>
              <w:bottom w:val="single" w:color="000000" w:sz="4" w:space="0"/>
              <w:right w:val="single" w:color="000000" w:sz="4" w:space="0"/>
            </w:tcBorders>
            <w:vAlign w:val="center"/>
          </w:tcPr>
          <w:p w14:paraId="22C4BBB8">
            <w:pPr>
              <w:pStyle w:val="184"/>
              <w:rPr>
                <w:rFonts w:hint="default" w:eastAsia="宋体"/>
                <w:highlight w:val="none"/>
                <w:lang w:val="en-US" w:eastAsia="zh-CN"/>
              </w:rPr>
            </w:pPr>
            <w:r>
              <w:rPr>
                <w:rFonts w:hint="eastAsia"/>
                <w:highlight w:val="none"/>
                <w:lang w:val="en-US" w:eastAsia="zh-CN"/>
              </w:rPr>
              <w:t>950</w:t>
            </w:r>
          </w:p>
        </w:tc>
        <w:tc>
          <w:tcPr>
            <w:tcW w:w="710" w:type="pct"/>
            <w:tcBorders>
              <w:top w:val="single" w:color="000000" w:sz="4" w:space="0"/>
              <w:left w:val="single" w:color="000000" w:sz="4" w:space="0"/>
              <w:bottom w:val="single" w:color="000000" w:sz="4" w:space="0"/>
              <w:right w:val="single" w:color="000000" w:sz="4" w:space="0"/>
            </w:tcBorders>
            <w:vAlign w:val="center"/>
          </w:tcPr>
          <w:p w14:paraId="097E63A5">
            <w:pPr>
              <w:pStyle w:val="184"/>
              <w:rPr>
                <w:rFonts w:hint="default" w:eastAsia="宋体"/>
                <w:highlight w:val="none"/>
                <w:lang w:val="en-US" w:eastAsia="zh-CN"/>
              </w:rPr>
            </w:pPr>
            <w:r>
              <w:rPr>
                <w:rFonts w:hint="eastAsia"/>
                <w:highlight w:val="none"/>
                <w:lang w:val="en-US" w:eastAsia="zh-CN"/>
              </w:rPr>
              <w:t>1050</w:t>
            </w:r>
          </w:p>
        </w:tc>
        <w:tc>
          <w:tcPr>
            <w:tcW w:w="1157" w:type="pct"/>
            <w:tcBorders>
              <w:top w:val="single" w:color="000000" w:sz="4" w:space="0"/>
              <w:left w:val="single" w:color="000000" w:sz="4" w:space="0"/>
              <w:bottom w:val="single" w:color="000000" w:sz="4" w:space="0"/>
              <w:right w:val="single" w:color="000000" w:sz="4" w:space="0"/>
            </w:tcBorders>
            <w:vAlign w:val="center"/>
          </w:tcPr>
          <w:p w14:paraId="3FE9B420">
            <w:pPr>
              <w:pStyle w:val="184"/>
              <w:rPr>
                <w:rFonts w:hint="default" w:eastAsia="宋体"/>
                <w:highlight w:val="none"/>
                <w:lang w:val="en-US" w:eastAsia="zh-CN"/>
              </w:rPr>
            </w:pPr>
            <w:r>
              <w:rPr>
                <w:rFonts w:hint="eastAsia"/>
                <w:highlight w:val="none"/>
                <w:lang w:val="en-US" w:eastAsia="zh-CN"/>
              </w:rPr>
              <w:t>750</w:t>
            </w:r>
          </w:p>
        </w:tc>
        <w:tc>
          <w:tcPr>
            <w:tcW w:w="1185" w:type="pct"/>
            <w:tcBorders>
              <w:top w:val="single" w:color="000000" w:sz="4" w:space="0"/>
              <w:left w:val="single" w:color="000000" w:sz="4" w:space="0"/>
              <w:bottom w:val="single" w:color="000000" w:sz="4" w:space="0"/>
              <w:right w:val="single" w:color="000000" w:sz="4" w:space="0"/>
            </w:tcBorders>
            <w:vAlign w:val="center"/>
          </w:tcPr>
          <w:p w14:paraId="71F709AD">
            <w:pPr>
              <w:pStyle w:val="184"/>
              <w:rPr>
                <w:rFonts w:hint="default" w:eastAsia="宋体"/>
                <w:highlight w:val="none"/>
                <w:lang w:val="en-US" w:eastAsia="zh-CN"/>
              </w:rPr>
            </w:pPr>
            <w:r>
              <w:rPr>
                <w:rFonts w:hint="eastAsia"/>
                <w:highlight w:val="none"/>
                <w:lang w:val="en-US" w:eastAsia="zh-CN"/>
              </w:rPr>
              <w:t>395</w:t>
            </w:r>
          </w:p>
        </w:tc>
      </w:tr>
      <w:tr w14:paraId="138CFE9B">
        <w:tblPrEx>
          <w:tblCellMar>
            <w:top w:w="0" w:type="dxa"/>
            <w:left w:w="108" w:type="dxa"/>
            <w:bottom w:w="0" w:type="dxa"/>
            <w:right w:w="108" w:type="dxa"/>
          </w:tblCellMar>
        </w:tblPrEx>
        <w:trPr>
          <w:trHeight w:val="20" w:hRule="atLeast"/>
        </w:trPr>
        <w:tc>
          <w:tcPr>
            <w:tcW w:w="652" w:type="pct"/>
            <w:vMerge w:val="restart"/>
            <w:tcBorders>
              <w:top w:val="single" w:color="000000" w:sz="4" w:space="0"/>
              <w:left w:val="single" w:color="000000" w:sz="4" w:space="0"/>
              <w:right w:val="single" w:color="000000" w:sz="4" w:space="0"/>
            </w:tcBorders>
            <w:vAlign w:val="center"/>
          </w:tcPr>
          <w:p w14:paraId="2C995011">
            <w:pPr>
              <w:pStyle w:val="184"/>
              <w:rPr>
                <w:rFonts w:hint="default" w:eastAsia="宋体"/>
                <w:highlight w:val="none"/>
                <w:lang w:val="en-US" w:eastAsia="zh-CN"/>
              </w:rPr>
            </w:pPr>
            <w:r>
              <w:rPr>
                <w:rFonts w:hint="eastAsia"/>
                <w:highlight w:val="none"/>
                <w:lang w:val="en-US" w:eastAsia="zh-CN"/>
              </w:rPr>
              <w:t>330</w:t>
            </w:r>
          </w:p>
        </w:tc>
        <w:tc>
          <w:tcPr>
            <w:tcW w:w="584" w:type="pct"/>
            <w:tcBorders>
              <w:top w:val="single" w:color="000000" w:sz="4" w:space="0"/>
              <w:left w:val="single" w:color="000000" w:sz="4" w:space="0"/>
              <w:bottom w:val="single" w:color="000000" w:sz="4" w:space="0"/>
              <w:right w:val="single" w:color="000000" w:sz="4" w:space="0"/>
            </w:tcBorders>
            <w:vAlign w:val="center"/>
          </w:tcPr>
          <w:p w14:paraId="45154755">
            <w:pPr>
              <w:pStyle w:val="184"/>
              <w:rPr>
                <w:rFonts w:hint="default" w:eastAsia="宋体"/>
                <w:highlight w:val="none"/>
                <w:lang w:val="en-US" w:eastAsia="zh-CN"/>
              </w:rPr>
            </w:pPr>
            <w:r>
              <w:rPr>
                <w:rFonts w:hint="eastAsia"/>
                <w:highlight w:val="none"/>
                <w:lang w:val="en-US" w:eastAsia="zh-CN"/>
              </w:rPr>
              <w:t>363</w:t>
            </w:r>
          </w:p>
        </w:tc>
        <w:tc>
          <w:tcPr>
            <w:tcW w:w="710" w:type="pct"/>
            <w:tcBorders>
              <w:top w:val="single" w:color="000000" w:sz="4" w:space="0"/>
              <w:left w:val="single" w:color="000000" w:sz="4" w:space="0"/>
              <w:bottom w:val="single" w:color="000000" w:sz="4" w:space="0"/>
              <w:right w:val="single" w:color="000000" w:sz="4" w:space="0"/>
            </w:tcBorders>
            <w:vAlign w:val="center"/>
          </w:tcPr>
          <w:p w14:paraId="5830533C">
            <w:pPr>
              <w:pStyle w:val="184"/>
              <w:rPr>
                <w:rFonts w:hint="default" w:eastAsia="宋体"/>
                <w:highlight w:val="none"/>
                <w:lang w:val="en-US" w:eastAsia="zh-CN"/>
              </w:rPr>
            </w:pPr>
            <w:r>
              <w:rPr>
                <w:rFonts w:hint="eastAsia"/>
                <w:highlight w:val="none"/>
                <w:lang w:val="en-US" w:eastAsia="zh-CN"/>
              </w:rPr>
              <w:t>1050</w:t>
            </w:r>
          </w:p>
        </w:tc>
        <w:tc>
          <w:tcPr>
            <w:tcW w:w="710" w:type="pct"/>
            <w:tcBorders>
              <w:top w:val="single" w:color="000000" w:sz="4" w:space="0"/>
              <w:left w:val="single" w:color="000000" w:sz="4" w:space="0"/>
              <w:bottom w:val="single" w:color="000000" w:sz="4" w:space="0"/>
              <w:right w:val="single" w:color="000000" w:sz="4" w:space="0"/>
            </w:tcBorders>
            <w:vAlign w:val="center"/>
          </w:tcPr>
          <w:p w14:paraId="11171386">
            <w:pPr>
              <w:pStyle w:val="184"/>
              <w:rPr>
                <w:rFonts w:hint="default" w:eastAsia="宋体"/>
                <w:highlight w:val="none"/>
                <w:lang w:val="en-US" w:eastAsia="zh-CN"/>
              </w:rPr>
            </w:pPr>
            <w:r>
              <w:rPr>
                <w:rFonts w:hint="eastAsia"/>
                <w:highlight w:val="none"/>
                <w:lang w:val="en-US" w:eastAsia="zh-CN"/>
              </w:rPr>
              <w:t>1175</w:t>
            </w:r>
          </w:p>
        </w:tc>
        <w:tc>
          <w:tcPr>
            <w:tcW w:w="1157" w:type="pct"/>
            <w:tcBorders>
              <w:top w:val="single" w:color="000000" w:sz="4" w:space="0"/>
              <w:left w:val="single" w:color="000000" w:sz="4" w:space="0"/>
              <w:bottom w:val="single" w:color="000000" w:sz="4" w:space="0"/>
              <w:right w:val="single" w:color="000000" w:sz="4" w:space="0"/>
            </w:tcBorders>
            <w:vAlign w:val="center"/>
          </w:tcPr>
          <w:p w14:paraId="7793AD70">
            <w:pPr>
              <w:pStyle w:val="184"/>
              <w:rPr>
                <w:rFonts w:hint="default" w:eastAsia="宋体"/>
                <w:highlight w:val="none"/>
                <w:lang w:val="en-US" w:eastAsia="zh-CN"/>
              </w:rPr>
            </w:pPr>
            <w:r>
              <w:rPr>
                <w:rFonts w:hint="eastAsia"/>
                <w:highlight w:val="none"/>
                <w:lang w:val="en-US" w:eastAsia="zh-CN"/>
              </w:rPr>
              <w:t>850</w:t>
            </w:r>
          </w:p>
        </w:tc>
        <w:tc>
          <w:tcPr>
            <w:tcW w:w="1185" w:type="pct"/>
            <w:tcBorders>
              <w:top w:val="single" w:color="000000" w:sz="4" w:space="0"/>
              <w:left w:val="single" w:color="000000" w:sz="4" w:space="0"/>
              <w:bottom w:val="single" w:color="000000" w:sz="4" w:space="0"/>
              <w:right w:val="single" w:color="000000" w:sz="4" w:space="0"/>
            </w:tcBorders>
            <w:vAlign w:val="center"/>
          </w:tcPr>
          <w:p w14:paraId="5C89AE75">
            <w:pPr>
              <w:pStyle w:val="184"/>
              <w:rPr>
                <w:rFonts w:hint="default" w:eastAsia="宋体"/>
                <w:highlight w:val="none"/>
                <w:lang w:val="en-US" w:eastAsia="zh-CN"/>
              </w:rPr>
            </w:pPr>
            <w:r>
              <w:rPr>
                <w:rFonts w:hint="eastAsia"/>
                <w:highlight w:val="none"/>
                <w:lang w:val="en-US" w:eastAsia="zh-CN"/>
              </w:rPr>
              <w:t>460</w:t>
            </w:r>
          </w:p>
        </w:tc>
      </w:tr>
      <w:tr w14:paraId="204139F9">
        <w:tblPrEx>
          <w:tblCellMar>
            <w:top w:w="0" w:type="dxa"/>
            <w:left w:w="108" w:type="dxa"/>
            <w:bottom w:w="0" w:type="dxa"/>
            <w:right w:w="108" w:type="dxa"/>
          </w:tblCellMar>
        </w:tblPrEx>
        <w:trPr>
          <w:trHeight w:val="20" w:hRule="atLeast"/>
        </w:trPr>
        <w:tc>
          <w:tcPr>
            <w:tcW w:w="652" w:type="pct"/>
            <w:vMerge w:val="continue"/>
            <w:tcBorders>
              <w:left w:val="single" w:color="000000" w:sz="4" w:space="0"/>
              <w:bottom w:val="single" w:color="000000" w:sz="4" w:space="0"/>
              <w:right w:val="single" w:color="000000" w:sz="4" w:space="0"/>
            </w:tcBorders>
            <w:vAlign w:val="center"/>
          </w:tcPr>
          <w:p w14:paraId="5FE7279D">
            <w:pPr>
              <w:pStyle w:val="184"/>
              <w:rPr>
                <w:rFonts w:hint="eastAsia"/>
                <w:highlight w:val="none"/>
              </w:rPr>
            </w:pPr>
          </w:p>
        </w:tc>
        <w:tc>
          <w:tcPr>
            <w:tcW w:w="584" w:type="pct"/>
            <w:tcBorders>
              <w:top w:val="single" w:color="000000" w:sz="4" w:space="0"/>
              <w:left w:val="single" w:color="000000" w:sz="4" w:space="0"/>
              <w:bottom w:val="single" w:color="000000" w:sz="4" w:space="0"/>
              <w:right w:val="single" w:color="000000" w:sz="4" w:space="0"/>
            </w:tcBorders>
            <w:vAlign w:val="center"/>
          </w:tcPr>
          <w:p w14:paraId="20EC0FA4">
            <w:pPr>
              <w:pStyle w:val="184"/>
              <w:rPr>
                <w:rFonts w:hint="eastAsia"/>
                <w:highlight w:val="none"/>
              </w:rPr>
            </w:pPr>
          </w:p>
        </w:tc>
        <w:tc>
          <w:tcPr>
            <w:tcW w:w="710" w:type="pct"/>
            <w:tcBorders>
              <w:top w:val="single" w:color="000000" w:sz="4" w:space="0"/>
              <w:left w:val="single" w:color="000000" w:sz="4" w:space="0"/>
              <w:bottom w:val="single" w:color="000000" w:sz="4" w:space="0"/>
              <w:right w:val="single" w:color="000000" w:sz="4" w:space="0"/>
            </w:tcBorders>
            <w:vAlign w:val="center"/>
          </w:tcPr>
          <w:p w14:paraId="5B0D9DD6">
            <w:pPr>
              <w:pStyle w:val="184"/>
              <w:rPr>
                <w:rFonts w:hint="default" w:eastAsia="宋体"/>
                <w:highlight w:val="none"/>
                <w:lang w:val="en-US" w:eastAsia="zh-CN"/>
              </w:rPr>
            </w:pPr>
            <w:r>
              <w:rPr>
                <w:rFonts w:hint="eastAsia"/>
                <w:highlight w:val="none"/>
                <w:lang w:val="en-US" w:eastAsia="zh-CN"/>
              </w:rPr>
              <w:t>1175</w:t>
            </w:r>
          </w:p>
        </w:tc>
        <w:tc>
          <w:tcPr>
            <w:tcW w:w="710" w:type="pct"/>
            <w:tcBorders>
              <w:top w:val="single" w:color="000000" w:sz="4" w:space="0"/>
              <w:left w:val="single" w:color="000000" w:sz="4" w:space="0"/>
              <w:bottom w:val="single" w:color="000000" w:sz="4" w:space="0"/>
              <w:right w:val="single" w:color="000000" w:sz="4" w:space="0"/>
            </w:tcBorders>
            <w:vAlign w:val="center"/>
          </w:tcPr>
          <w:p w14:paraId="2CFF9FFC">
            <w:pPr>
              <w:pStyle w:val="184"/>
              <w:rPr>
                <w:rFonts w:hint="default" w:eastAsia="宋体"/>
                <w:highlight w:val="none"/>
                <w:lang w:val="en-US" w:eastAsia="zh-CN"/>
              </w:rPr>
            </w:pPr>
            <w:r>
              <w:rPr>
                <w:rFonts w:hint="eastAsia"/>
                <w:highlight w:val="none"/>
                <w:lang w:val="en-US" w:eastAsia="zh-CN"/>
              </w:rPr>
              <w:t>1300</w:t>
            </w:r>
          </w:p>
        </w:tc>
        <w:tc>
          <w:tcPr>
            <w:tcW w:w="1157" w:type="pct"/>
            <w:tcBorders>
              <w:top w:val="single" w:color="000000" w:sz="4" w:space="0"/>
              <w:left w:val="single" w:color="000000" w:sz="4" w:space="0"/>
              <w:bottom w:val="single" w:color="000000" w:sz="4" w:space="0"/>
              <w:right w:val="single" w:color="000000" w:sz="4" w:space="0"/>
            </w:tcBorders>
            <w:vAlign w:val="center"/>
          </w:tcPr>
          <w:p w14:paraId="3A0EE117">
            <w:pPr>
              <w:pStyle w:val="184"/>
              <w:rPr>
                <w:rFonts w:hint="default" w:eastAsia="宋体"/>
                <w:highlight w:val="none"/>
                <w:lang w:val="en-US" w:eastAsia="zh-CN"/>
              </w:rPr>
            </w:pPr>
            <w:r>
              <w:rPr>
                <w:rFonts w:hint="eastAsia"/>
                <w:highlight w:val="none"/>
                <w:lang w:val="en-US" w:eastAsia="zh-CN"/>
              </w:rPr>
              <w:t>950</w:t>
            </w:r>
          </w:p>
        </w:tc>
        <w:tc>
          <w:tcPr>
            <w:tcW w:w="1185" w:type="pct"/>
            <w:tcBorders>
              <w:top w:val="single" w:color="000000" w:sz="4" w:space="0"/>
              <w:left w:val="single" w:color="000000" w:sz="4" w:space="0"/>
              <w:bottom w:val="single" w:color="000000" w:sz="4" w:space="0"/>
              <w:right w:val="single" w:color="000000" w:sz="4" w:space="0"/>
            </w:tcBorders>
            <w:vAlign w:val="center"/>
          </w:tcPr>
          <w:p w14:paraId="74EFD18B">
            <w:pPr>
              <w:pStyle w:val="184"/>
              <w:rPr>
                <w:rFonts w:hint="default" w:eastAsia="宋体"/>
                <w:highlight w:val="none"/>
                <w:lang w:val="en-US" w:eastAsia="zh-CN"/>
              </w:rPr>
            </w:pPr>
            <w:r>
              <w:rPr>
                <w:rFonts w:hint="eastAsia"/>
                <w:highlight w:val="none"/>
                <w:lang w:val="en-US" w:eastAsia="zh-CN"/>
              </w:rPr>
              <w:t>510</w:t>
            </w:r>
          </w:p>
        </w:tc>
      </w:tr>
      <w:tr w14:paraId="720F2C57">
        <w:tblPrEx>
          <w:tblCellMar>
            <w:top w:w="0" w:type="dxa"/>
            <w:left w:w="108" w:type="dxa"/>
            <w:bottom w:w="0" w:type="dxa"/>
            <w:right w:w="108" w:type="dxa"/>
          </w:tblCellMar>
        </w:tblPrEx>
        <w:trPr>
          <w:trHeight w:val="20" w:hRule="atLeast"/>
        </w:trPr>
        <w:tc>
          <w:tcPr>
            <w:tcW w:w="652" w:type="pct"/>
            <w:vMerge w:val="restart"/>
            <w:tcBorders>
              <w:left w:val="single" w:color="000000" w:sz="4" w:space="0"/>
              <w:right w:val="single" w:color="000000" w:sz="4" w:space="0"/>
            </w:tcBorders>
            <w:vAlign w:val="center"/>
          </w:tcPr>
          <w:p w14:paraId="1A718246">
            <w:pPr>
              <w:pStyle w:val="184"/>
              <w:rPr>
                <w:rFonts w:hint="default" w:eastAsia="宋体"/>
                <w:highlight w:val="none"/>
                <w:lang w:val="en-US" w:eastAsia="zh-CN"/>
              </w:rPr>
            </w:pPr>
            <w:r>
              <w:rPr>
                <w:rFonts w:hint="eastAsia"/>
                <w:highlight w:val="none"/>
                <w:lang w:val="en-US" w:eastAsia="zh-CN"/>
              </w:rPr>
              <w:t>500</w:t>
            </w:r>
          </w:p>
        </w:tc>
        <w:tc>
          <w:tcPr>
            <w:tcW w:w="584" w:type="pct"/>
            <w:tcBorders>
              <w:top w:val="single" w:color="000000" w:sz="4" w:space="0"/>
              <w:left w:val="single" w:color="000000" w:sz="4" w:space="0"/>
              <w:bottom w:val="single" w:color="000000" w:sz="4" w:space="0"/>
              <w:right w:val="single" w:color="000000" w:sz="4" w:space="0"/>
            </w:tcBorders>
            <w:vAlign w:val="center"/>
          </w:tcPr>
          <w:p w14:paraId="6B866C8B">
            <w:pPr>
              <w:pStyle w:val="184"/>
              <w:rPr>
                <w:rFonts w:hint="default" w:eastAsia="宋体"/>
                <w:highlight w:val="none"/>
                <w:lang w:val="en-US" w:eastAsia="zh-CN"/>
              </w:rPr>
            </w:pPr>
            <w:r>
              <w:rPr>
                <w:rFonts w:hint="eastAsia"/>
                <w:highlight w:val="none"/>
                <w:lang w:val="en-US" w:eastAsia="zh-CN"/>
              </w:rPr>
              <w:t>550</w:t>
            </w:r>
          </w:p>
        </w:tc>
        <w:tc>
          <w:tcPr>
            <w:tcW w:w="710" w:type="pct"/>
            <w:tcBorders>
              <w:top w:val="single" w:color="000000" w:sz="4" w:space="0"/>
              <w:left w:val="single" w:color="000000" w:sz="4" w:space="0"/>
              <w:bottom w:val="single" w:color="000000" w:sz="4" w:space="0"/>
              <w:right w:val="single" w:color="000000" w:sz="4" w:space="0"/>
            </w:tcBorders>
            <w:vAlign w:val="center"/>
          </w:tcPr>
          <w:p w14:paraId="1F460997">
            <w:pPr>
              <w:pStyle w:val="184"/>
              <w:rPr>
                <w:rFonts w:hint="default"/>
                <w:highlight w:val="none"/>
                <w:lang w:val="en-US" w:eastAsia="zh-CN"/>
              </w:rPr>
            </w:pPr>
            <w:r>
              <w:rPr>
                <w:rFonts w:hint="eastAsia"/>
                <w:highlight w:val="none"/>
                <w:lang w:val="en-US" w:eastAsia="zh-CN"/>
              </w:rPr>
              <w:t>1425</w:t>
            </w:r>
          </w:p>
        </w:tc>
        <w:tc>
          <w:tcPr>
            <w:tcW w:w="710" w:type="pct"/>
            <w:tcBorders>
              <w:top w:val="single" w:color="000000" w:sz="4" w:space="0"/>
              <w:left w:val="single" w:color="000000" w:sz="4" w:space="0"/>
              <w:bottom w:val="single" w:color="000000" w:sz="4" w:space="0"/>
              <w:right w:val="single" w:color="000000" w:sz="4" w:space="0"/>
            </w:tcBorders>
            <w:vAlign w:val="center"/>
          </w:tcPr>
          <w:p w14:paraId="08DD6A33">
            <w:pPr>
              <w:pStyle w:val="184"/>
              <w:rPr>
                <w:rFonts w:hint="default"/>
                <w:highlight w:val="none"/>
                <w:lang w:val="en-US" w:eastAsia="zh-CN"/>
              </w:rPr>
            </w:pPr>
            <w:r>
              <w:rPr>
                <w:rFonts w:hint="eastAsia"/>
                <w:highlight w:val="none"/>
                <w:lang w:val="en-US" w:eastAsia="zh-CN"/>
              </w:rPr>
              <w:t>1550</w:t>
            </w:r>
          </w:p>
        </w:tc>
        <w:tc>
          <w:tcPr>
            <w:tcW w:w="1157" w:type="pct"/>
            <w:tcBorders>
              <w:top w:val="single" w:color="000000" w:sz="4" w:space="0"/>
              <w:left w:val="single" w:color="000000" w:sz="4" w:space="0"/>
              <w:bottom w:val="single" w:color="000000" w:sz="4" w:space="0"/>
              <w:right w:val="single" w:color="000000" w:sz="4" w:space="0"/>
            </w:tcBorders>
            <w:vAlign w:val="center"/>
          </w:tcPr>
          <w:p w14:paraId="7156EEE4">
            <w:pPr>
              <w:pStyle w:val="184"/>
              <w:rPr>
                <w:rFonts w:hint="default"/>
                <w:highlight w:val="none"/>
                <w:lang w:val="en-US" w:eastAsia="zh-CN"/>
              </w:rPr>
            </w:pPr>
            <w:r>
              <w:rPr>
                <w:rFonts w:hint="eastAsia"/>
                <w:highlight w:val="none"/>
                <w:lang w:val="en-US" w:eastAsia="zh-CN"/>
              </w:rPr>
              <w:t>1050</w:t>
            </w:r>
          </w:p>
        </w:tc>
        <w:tc>
          <w:tcPr>
            <w:tcW w:w="1185" w:type="pct"/>
            <w:tcBorders>
              <w:top w:val="single" w:color="000000" w:sz="4" w:space="0"/>
              <w:left w:val="single" w:color="000000" w:sz="4" w:space="0"/>
              <w:bottom w:val="single" w:color="000000" w:sz="4" w:space="0"/>
              <w:right w:val="single" w:color="000000" w:sz="4" w:space="0"/>
            </w:tcBorders>
            <w:vAlign w:val="center"/>
          </w:tcPr>
          <w:p w14:paraId="5C13FABE">
            <w:pPr>
              <w:pStyle w:val="184"/>
              <w:rPr>
                <w:rFonts w:hint="default"/>
                <w:highlight w:val="none"/>
                <w:lang w:val="en-US" w:eastAsia="zh-CN"/>
              </w:rPr>
            </w:pPr>
            <w:r>
              <w:rPr>
                <w:rFonts w:hint="eastAsia"/>
                <w:highlight w:val="none"/>
                <w:lang w:val="en-US" w:eastAsia="zh-CN"/>
              </w:rPr>
              <w:t>630</w:t>
            </w:r>
          </w:p>
        </w:tc>
      </w:tr>
      <w:tr w14:paraId="19607B4A">
        <w:tblPrEx>
          <w:tblCellMar>
            <w:top w:w="0" w:type="dxa"/>
            <w:left w:w="108" w:type="dxa"/>
            <w:bottom w:w="0" w:type="dxa"/>
            <w:right w:w="108" w:type="dxa"/>
          </w:tblCellMar>
        </w:tblPrEx>
        <w:trPr>
          <w:trHeight w:val="20" w:hRule="atLeast"/>
        </w:trPr>
        <w:tc>
          <w:tcPr>
            <w:tcW w:w="652" w:type="pct"/>
            <w:vMerge w:val="continue"/>
            <w:tcBorders>
              <w:left w:val="single" w:color="000000" w:sz="4" w:space="0"/>
              <w:bottom w:val="single" w:color="000000" w:sz="4" w:space="0"/>
              <w:right w:val="single" w:color="000000" w:sz="4" w:space="0"/>
            </w:tcBorders>
            <w:vAlign w:val="center"/>
          </w:tcPr>
          <w:p w14:paraId="193E18DE">
            <w:pPr>
              <w:pStyle w:val="184"/>
              <w:rPr>
                <w:rFonts w:hint="eastAsia"/>
                <w:highlight w:val="none"/>
              </w:rPr>
            </w:pPr>
          </w:p>
        </w:tc>
        <w:tc>
          <w:tcPr>
            <w:tcW w:w="584" w:type="pct"/>
            <w:tcBorders>
              <w:top w:val="single" w:color="000000" w:sz="4" w:space="0"/>
              <w:left w:val="single" w:color="000000" w:sz="4" w:space="0"/>
              <w:bottom w:val="single" w:color="000000" w:sz="4" w:space="0"/>
              <w:right w:val="single" w:color="000000" w:sz="4" w:space="0"/>
            </w:tcBorders>
            <w:vAlign w:val="center"/>
          </w:tcPr>
          <w:p w14:paraId="5551BEA6">
            <w:pPr>
              <w:pStyle w:val="184"/>
              <w:rPr>
                <w:rFonts w:hint="eastAsia"/>
                <w:highlight w:val="none"/>
              </w:rPr>
            </w:pPr>
          </w:p>
        </w:tc>
        <w:tc>
          <w:tcPr>
            <w:tcW w:w="710" w:type="pct"/>
            <w:tcBorders>
              <w:top w:val="single" w:color="000000" w:sz="4" w:space="0"/>
              <w:left w:val="single" w:color="000000" w:sz="4" w:space="0"/>
              <w:bottom w:val="single" w:color="000000" w:sz="4" w:space="0"/>
              <w:right w:val="single" w:color="000000" w:sz="4" w:space="0"/>
            </w:tcBorders>
            <w:vAlign w:val="center"/>
          </w:tcPr>
          <w:p w14:paraId="63C62530">
            <w:pPr>
              <w:pStyle w:val="184"/>
              <w:rPr>
                <w:rFonts w:hint="default"/>
                <w:highlight w:val="none"/>
                <w:lang w:val="en-US" w:eastAsia="zh-CN"/>
              </w:rPr>
            </w:pPr>
            <w:r>
              <w:rPr>
                <w:rFonts w:hint="eastAsia"/>
                <w:highlight w:val="none"/>
                <w:lang w:val="en-US" w:eastAsia="zh-CN"/>
              </w:rPr>
              <w:t>1550</w:t>
            </w:r>
          </w:p>
        </w:tc>
        <w:tc>
          <w:tcPr>
            <w:tcW w:w="710" w:type="pct"/>
            <w:tcBorders>
              <w:top w:val="single" w:color="000000" w:sz="4" w:space="0"/>
              <w:left w:val="single" w:color="000000" w:sz="4" w:space="0"/>
              <w:bottom w:val="single" w:color="000000" w:sz="4" w:space="0"/>
              <w:right w:val="single" w:color="000000" w:sz="4" w:space="0"/>
            </w:tcBorders>
            <w:vAlign w:val="center"/>
          </w:tcPr>
          <w:p w14:paraId="1C3A370D">
            <w:pPr>
              <w:pStyle w:val="184"/>
              <w:rPr>
                <w:rFonts w:hint="default"/>
                <w:highlight w:val="none"/>
                <w:lang w:val="en-US" w:eastAsia="zh-CN"/>
              </w:rPr>
            </w:pPr>
            <w:r>
              <w:rPr>
                <w:rFonts w:hint="eastAsia"/>
                <w:highlight w:val="none"/>
                <w:lang w:val="en-US" w:eastAsia="zh-CN"/>
              </w:rPr>
              <w:t>1675</w:t>
            </w:r>
          </w:p>
        </w:tc>
        <w:tc>
          <w:tcPr>
            <w:tcW w:w="1157" w:type="pct"/>
            <w:tcBorders>
              <w:top w:val="single" w:color="000000" w:sz="4" w:space="0"/>
              <w:left w:val="single" w:color="000000" w:sz="4" w:space="0"/>
              <w:bottom w:val="single" w:color="000000" w:sz="4" w:space="0"/>
              <w:right w:val="single" w:color="000000" w:sz="4" w:space="0"/>
            </w:tcBorders>
            <w:vAlign w:val="center"/>
          </w:tcPr>
          <w:p w14:paraId="0682A669">
            <w:pPr>
              <w:pStyle w:val="184"/>
              <w:rPr>
                <w:rFonts w:hint="default"/>
                <w:highlight w:val="none"/>
                <w:lang w:val="en-US" w:eastAsia="zh-CN"/>
              </w:rPr>
            </w:pPr>
            <w:r>
              <w:rPr>
                <w:rFonts w:hint="eastAsia"/>
                <w:highlight w:val="none"/>
                <w:lang w:val="en-US" w:eastAsia="zh-CN"/>
              </w:rPr>
              <w:t>1175</w:t>
            </w:r>
          </w:p>
        </w:tc>
        <w:tc>
          <w:tcPr>
            <w:tcW w:w="1185" w:type="pct"/>
            <w:tcBorders>
              <w:top w:val="single" w:color="000000" w:sz="4" w:space="0"/>
              <w:left w:val="single" w:color="000000" w:sz="4" w:space="0"/>
              <w:bottom w:val="single" w:color="000000" w:sz="4" w:space="0"/>
              <w:right w:val="single" w:color="000000" w:sz="4" w:space="0"/>
            </w:tcBorders>
            <w:vAlign w:val="center"/>
          </w:tcPr>
          <w:p w14:paraId="69244FD8">
            <w:pPr>
              <w:pStyle w:val="184"/>
              <w:rPr>
                <w:rFonts w:hint="default"/>
                <w:highlight w:val="none"/>
                <w:lang w:val="en-US" w:eastAsia="zh-CN"/>
              </w:rPr>
            </w:pPr>
            <w:r>
              <w:rPr>
                <w:rFonts w:hint="eastAsia"/>
                <w:highlight w:val="none"/>
                <w:lang w:val="en-US" w:eastAsia="zh-CN"/>
              </w:rPr>
              <w:t>680</w:t>
            </w:r>
          </w:p>
        </w:tc>
      </w:tr>
      <w:tr w14:paraId="7EEC995E">
        <w:tblPrEx>
          <w:tblCellMar>
            <w:top w:w="0" w:type="dxa"/>
            <w:left w:w="108" w:type="dxa"/>
            <w:bottom w:w="0" w:type="dxa"/>
            <w:right w:w="108" w:type="dxa"/>
          </w:tblCellMar>
        </w:tblPrEx>
        <w:trPr>
          <w:trHeight w:val="20" w:hRule="atLeast"/>
        </w:trPr>
        <w:tc>
          <w:tcPr>
            <w:tcW w:w="652" w:type="pct"/>
            <w:tcBorders>
              <w:left w:val="single" w:color="000000" w:sz="4" w:space="0"/>
              <w:bottom w:val="single" w:color="000000" w:sz="4" w:space="0"/>
              <w:right w:val="single" w:color="000000" w:sz="4" w:space="0"/>
            </w:tcBorders>
            <w:vAlign w:val="center"/>
          </w:tcPr>
          <w:p w14:paraId="21F1F3D8">
            <w:pPr>
              <w:pStyle w:val="184"/>
              <w:rPr>
                <w:rFonts w:hint="default" w:eastAsia="宋体"/>
                <w:highlight w:val="none"/>
                <w:lang w:val="en-US" w:eastAsia="zh-CN"/>
              </w:rPr>
            </w:pPr>
            <w:r>
              <w:rPr>
                <w:rFonts w:hint="eastAsia"/>
                <w:highlight w:val="none"/>
                <w:lang w:val="en-US" w:eastAsia="zh-CN"/>
              </w:rPr>
              <w:t>750</w:t>
            </w:r>
          </w:p>
        </w:tc>
        <w:tc>
          <w:tcPr>
            <w:tcW w:w="584" w:type="pct"/>
            <w:tcBorders>
              <w:top w:val="single" w:color="000000" w:sz="4" w:space="0"/>
              <w:left w:val="single" w:color="000000" w:sz="4" w:space="0"/>
              <w:bottom w:val="single" w:color="000000" w:sz="4" w:space="0"/>
              <w:right w:val="single" w:color="000000" w:sz="4" w:space="0"/>
            </w:tcBorders>
            <w:vAlign w:val="center"/>
          </w:tcPr>
          <w:p w14:paraId="1F4521E8">
            <w:pPr>
              <w:pStyle w:val="184"/>
              <w:rPr>
                <w:rFonts w:hint="default" w:eastAsia="宋体"/>
                <w:highlight w:val="none"/>
                <w:lang w:val="en-US" w:eastAsia="zh-CN"/>
              </w:rPr>
            </w:pPr>
            <w:r>
              <w:rPr>
                <w:rFonts w:hint="eastAsia"/>
                <w:highlight w:val="none"/>
                <w:lang w:val="en-US" w:eastAsia="zh-CN"/>
              </w:rPr>
              <w:t>800</w:t>
            </w:r>
          </w:p>
        </w:tc>
        <w:tc>
          <w:tcPr>
            <w:tcW w:w="710" w:type="pct"/>
            <w:tcBorders>
              <w:top w:val="single" w:color="000000" w:sz="4" w:space="0"/>
              <w:left w:val="single" w:color="000000" w:sz="4" w:space="0"/>
              <w:bottom w:val="single" w:color="000000" w:sz="4" w:space="0"/>
              <w:right w:val="single" w:color="000000" w:sz="4" w:space="0"/>
            </w:tcBorders>
            <w:vAlign w:val="center"/>
          </w:tcPr>
          <w:p w14:paraId="5B0678FF">
            <w:pPr>
              <w:pStyle w:val="184"/>
              <w:rPr>
                <w:rFonts w:hint="default"/>
                <w:highlight w:val="none"/>
                <w:lang w:val="en-US" w:eastAsia="zh-CN"/>
              </w:rPr>
            </w:pPr>
            <w:r>
              <w:rPr>
                <w:rFonts w:hint="eastAsia"/>
                <w:highlight w:val="none"/>
                <w:lang w:val="en-US" w:eastAsia="zh-CN"/>
              </w:rPr>
              <w:t>1950</w:t>
            </w:r>
          </w:p>
        </w:tc>
        <w:tc>
          <w:tcPr>
            <w:tcW w:w="710" w:type="pct"/>
            <w:tcBorders>
              <w:top w:val="single" w:color="000000" w:sz="4" w:space="0"/>
              <w:left w:val="single" w:color="000000" w:sz="4" w:space="0"/>
              <w:bottom w:val="single" w:color="000000" w:sz="4" w:space="0"/>
              <w:right w:val="single" w:color="000000" w:sz="4" w:space="0"/>
            </w:tcBorders>
            <w:vAlign w:val="center"/>
          </w:tcPr>
          <w:p w14:paraId="15ACBD87">
            <w:pPr>
              <w:pStyle w:val="184"/>
              <w:rPr>
                <w:rFonts w:hint="default"/>
                <w:highlight w:val="none"/>
                <w:lang w:val="en-US" w:eastAsia="zh-CN"/>
              </w:rPr>
            </w:pPr>
            <w:r>
              <w:rPr>
                <w:rFonts w:hint="eastAsia"/>
                <w:highlight w:val="none"/>
                <w:lang w:val="en-US" w:eastAsia="zh-CN"/>
              </w:rPr>
              <w:t>2100</w:t>
            </w:r>
          </w:p>
        </w:tc>
        <w:tc>
          <w:tcPr>
            <w:tcW w:w="1157" w:type="pct"/>
            <w:tcBorders>
              <w:top w:val="single" w:color="000000" w:sz="4" w:space="0"/>
              <w:left w:val="single" w:color="000000" w:sz="4" w:space="0"/>
              <w:bottom w:val="single" w:color="000000" w:sz="4" w:space="0"/>
              <w:right w:val="single" w:color="000000" w:sz="4" w:space="0"/>
            </w:tcBorders>
            <w:vAlign w:val="center"/>
          </w:tcPr>
          <w:p w14:paraId="6D634236">
            <w:pPr>
              <w:pStyle w:val="184"/>
              <w:rPr>
                <w:rFonts w:hint="default"/>
                <w:highlight w:val="none"/>
                <w:lang w:val="en-US" w:eastAsia="zh-CN"/>
              </w:rPr>
            </w:pPr>
            <w:r>
              <w:rPr>
                <w:rFonts w:hint="eastAsia"/>
                <w:highlight w:val="none"/>
                <w:lang w:val="en-US" w:eastAsia="zh-CN"/>
              </w:rPr>
              <w:t>1550</w:t>
            </w:r>
          </w:p>
        </w:tc>
        <w:tc>
          <w:tcPr>
            <w:tcW w:w="1185" w:type="pct"/>
            <w:tcBorders>
              <w:top w:val="single" w:color="000000" w:sz="4" w:space="0"/>
              <w:left w:val="single" w:color="000000" w:sz="4" w:space="0"/>
              <w:bottom w:val="single" w:color="000000" w:sz="4" w:space="0"/>
              <w:right w:val="single" w:color="000000" w:sz="4" w:space="0"/>
            </w:tcBorders>
            <w:vAlign w:val="center"/>
          </w:tcPr>
          <w:p w14:paraId="2B00CAFC">
            <w:pPr>
              <w:pStyle w:val="184"/>
              <w:rPr>
                <w:rFonts w:hint="default"/>
                <w:highlight w:val="none"/>
                <w:lang w:val="en-US" w:eastAsia="zh-CN"/>
              </w:rPr>
            </w:pPr>
            <w:r>
              <w:rPr>
                <w:rFonts w:hint="eastAsia"/>
                <w:highlight w:val="none"/>
                <w:lang w:val="en-US" w:eastAsia="zh-CN"/>
              </w:rPr>
              <w:t>900</w:t>
            </w:r>
          </w:p>
        </w:tc>
      </w:tr>
      <w:tr w14:paraId="70C8F5B9">
        <w:tblPrEx>
          <w:tblCellMar>
            <w:top w:w="0" w:type="dxa"/>
            <w:left w:w="108" w:type="dxa"/>
            <w:bottom w:w="0" w:type="dxa"/>
            <w:right w:w="108" w:type="dxa"/>
          </w:tblCellMar>
        </w:tblPrEx>
        <w:trPr>
          <w:trHeight w:val="20" w:hRule="atLeast"/>
        </w:trPr>
        <w:tc>
          <w:tcPr>
            <w:tcW w:w="652" w:type="pct"/>
            <w:tcBorders>
              <w:left w:val="single" w:color="000000" w:sz="4" w:space="0"/>
              <w:bottom w:val="single" w:color="000000" w:sz="4" w:space="0"/>
              <w:right w:val="single" w:color="000000" w:sz="4" w:space="0"/>
            </w:tcBorders>
            <w:vAlign w:val="center"/>
          </w:tcPr>
          <w:p w14:paraId="55894466">
            <w:pPr>
              <w:pStyle w:val="184"/>
              <w:rPr>
                <w:rFonts w:hint="default" w:eastAsia="宋体"/>
                <w:highlight w:val="none"/>
                <w:lang w:val="en-US" w:eastAsia="zh-CN"/>
              </w:rPr>
            </w:pPr>
            <w:r>
              <w:rPr>
                <w:rFonts w:hint="eastAsia"/>
                <w:highlight w:val="none"/>
                <w:lang w:val="en-US" w:eastAsia="zh-CN"/>
              </w:rPr>
              <w:t>1000</w:t>
            </w:r>
          </w:p>
        </w:tc>
        <w:tc>
          <w:tcPr>
            <w:tcW w:w="584" w:type="pct"/>
            <w:tcBorders>
              <w:top w:val="single" w:color="000000" w:sz="4" w:space="0"/>
              <w:left w:val="single" w:color="000000" w:sz="4" w:space="0"/>
              <w:bottom w:val="single" w:color="000000" w:sz="4" w:space="0"/>
              <w:right w:val="single" w:color="000000" w:sz="4" w:space="0"/>
            </w:tcBorders>
            <w:vAlign w:val="center"/>
          </w:tcPr>
          <w:p w14:paraId="4692CD37">
            <w:pPr>
              <w:pStyle w:val="184"/>
              <w:rPr>
                <w:rFonts w:hint="default" w:eastAsia="宋体"/>
                <w:highlight w:val="none"/>
                <w:lang w:val="en-US" w:eastAsia="zh-CN"/>
              </w:rPr>
            </w:pPr>
            <w:r>
              <w:rPr>
                <w:rFonts w:hint="eastAsia"/>
                <w:highlight w:val="none"/>
                <w:lang w:val="en-US" w:eastAsia="zh-CN"/>
              </w:rPr>
              <w:t>1100</w:t>
            </w:r>
          </w:p>
        </w:tc>
        <w:tc>
          <w:tcPr>
            <w:tcW w:w="710" w:type="pct"/>
            <w:tcBorders>
              <w:top w:val="single" w:color="000000" w:sz="4" w:space="0"/>
              <w:left w:val="single" w:color="000000" w:sz="4" w:space="0"/>
              <w:bottom w:val="single" w:color="000000" w:sz="4" w:space="0"/>
              <w:right w:val="single" w:color="000000" w:sz="4" w:space="0"/>
            </w:tcBorders>
            <w:vAlign w:val="center"/>
          </w:tcPr>
          <w:p w14:paraId="4570BB12">
            <w:pPr>
              <w:pStyle w:val="184"/>
              <w:rPr>
                <w:rFonts w:hint="default"/>
                <w:highlight w:val="none"/>
                <w:lang w:val="en-US" w:eastAsia="zh-CN"/>
              </w:rPr>
            </w:pPr>
            <w:r>
              <w:rPr>
                <w:rFonts w:hint="eastAsia"/>
                <w:highlight w:val="none"/>
                <w:lang w:val="en-US" w:eastAsia="zh-CN"/>
              </w:rPr>
              <w:t>2250</w:t>
            </w:r>
          </w:p>
        </w:tc>
        <w:tc>
          <w:tcPr>
            <w:tcW w:w="710" w:type="pct"/>
            <w:tcBorders>
              <w:top w:val="single" w:color="000000" w:sz="4" w:space="0"/>
              <w:left w:val="single" w:color="000000" w:sz="4" w:space="0"/>
              <w:bottom w:val="single" w:color="000000" w:sz="4" w:space="0"/>
              <w:right w:val="single" w:color="000000" w:sz="4" w:space="0"/>
            </w:tcBorders>
            <w:vAlign w:val="center"/>
          </w:tcPr>
          <w:p w14:paraId="76309424">
            <w:pPr>
              <w:pStyle w:val="184"/>
              <w:rPr>
                <w:rFonts w:hint="default"/>
                <w:highlight w:val="none"/>
                <w:lang w:val="en-US" w:eastAsia="zh-CN"/>
              </w:rPr>
            </w:pPr>
            <w:r>
              <w:rPr>
                <w:rFonts w:hint="eastAsia"/>
                <w:highlight w:val="none"/>
                <w:lang w:val="en-US" w:eastAsia="zh-CN"/>
              </w:rPr>
              <w:t>2400</w:t>
            </w:r>
          </w:p>
        </w:tc>
        <w:tc>
          <w:tcPr>
            <w:tcW w:w="1157" w:type="pct"/>
            <w:tcBorders>
              <w:top w:val="single" w:color="000000" w:sz="4" w:space="0"/>
              <w:left w:val="single" w:color="000000" w:sz="4" w:space="0"/>
              <w:bottom w:val="single" w:color="000000" w:sz="4" w:space="0"/>
              <w:right w:val="single" w:color="000000" w:sz="4" w:space="0"/>
            </w:tcBorders>
            <w:vAlign w:val="center"/>
          </w:tcPr>
          <w:p w14:paraId="1F485AAC">
            <w:pPr>
              <w:pStyle w:val="184"/>
              <w:rPr>
                <w:rFonts w:hint="default"/>
                <w:highlight w:val="none"/>
                <w:lang w:val="en-US" w:eastAsia="zh-CN"/>
              </w:rPr>
            </w:pPr>
            <w:r>
              <w:rPr>
                <w:rFonts w:hint="eastAsia"/>
                <w:highlight w:val="none"/>
                <w:lang w:val="en-US" w:eastAsia="zh-CN"/>
              </w:rPr>
              <w:t>1800</w:t>
            </w:r>
          </w:p>
        </w:tc>
        <w:tc>
          <w:tcPr>
            <w:tcW w:w="1185" w:type="pct"/>
            <w:tcBorders>
              <w:top w:val="single" w:color="000000" w:sz="4" w:space="0"/>
              <w:left w:val="single" w:color="000000" w:sz="4" w:space="0"/>
              <w:bottom w:val="single" w:color="000000" w:sz="4" w:space="0"/>
              <w:right w:val="single" w:color="000000" w:sz="4" w:space="0"/>
            </w:tcBorders>
            <w:vAlign w:val="center"/>
          </w:tcPr>
          <w:p w14:paraId="469B6AB7">
            <w:pPr>
              <w:pStyle w:val="184"/>
              <w:rPr>
                <w:rFonts w:hint="default"/>
                <w:highlight w:val="none"/>
                <w:lang w:val="en-US" w:eastAsia="zh-CN"/>
              </w:rPr>
            </w:pPr>
            <w:r>
              <w:rPr>
                <w:rFonts w:hint="eastAsia"/>
                <w:highlight w:val="none"/>
                <w:lang w:val="en-US" w:eastAsia="zh-CN"/>
              </w:rPr>
              <w:t>1100</w:t>
            </w:r>
          </w:p>
        </w:tc>
      </w:tr>
      <w:tr w14:paraId="0E678C6A">
        <w:tblPrEx>
          <w:tblCellMar>
            <w:top w:w="0" w:type="dxa"/>
            <w:left w:w="108" w:type="dxa"/>
            <w:bottom w:w="0" w:type="dxa"/>
            <w:right w:w="108" w:type="dxa"/>
          </w:tblCellMar>
        </w:tblPrEx>
        <w:trPr>
          <w:trHeight w:val="2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18684658">
            <w:pPr>
              <w:pStyle w:val="185"/>
              <w:rPr>
                <w:highlight w:val="none"/>
              </w:rPr>
            </w:pPr>
            <w:r>
              <w:rPr>
                <w:rFonts w:hint="eastAsia"/>
                <w:highlight w:val="none"/>
              </w:rPr>
              <w:t>括号内和括号外数据分别对应低电阻接地系统和非低电阻接地系统。</w:t>
            </w:r>
          </w:p>
          <w:p w14:paraId="735F66F2">
            <w:pPr>
              <w:pStyle w:val="185"/>
              <w:rPr>
                <w:highlight w:val="none"/>
              </w:rPr>
            </w:pPr>
            <w:r>
              <w:rPr>
                <w:rFonts w:hint="eastAsia"/>
                <w:highlight w:val="none"/>
              </w:rPr>
              <w:t>相间试验不包括换流链端间耐压试验。</w:t>
            </w:r>
          </w:p>
          <w:p w14:paraId="2DFD4EF9">
            <w:pPr>
              <w:pStyle w:val="185"/>
              <w:rPr>
                <w:highlight w:val="none"/>
              </w:rPr>
            </w:pPr>
            <w:r>
              <w:rPr>
                <w:rFonts w:hint="eastAsia"/>
                <w:highlight w:val="none"/>
              </w:rPr>
              <w:t>海拔超过1000m的装置，耐受电压水平按照GB/T 311.1的规定修正。</w:t>
            </w:r>
          </w:p>
        </w:tc>
      </w:tr>
    </w:tbl>
    <w:p w14:paraId="3A31ACE4">
      <w:pPr>
        <w:pStyle w:val="73"/>
        <w:spacing w:before="120" w:after="120"/>
        <w:ind w:left="0" w:leftChars="0" w:firstLineChars="0"/>
      </w:pPr>
      <w:bookmarkStart w:id="120" w:name="_Toc6017"/>
      <w:bookmarkStart w:id="121" w:name="_Toc214620392"/>
      <w:r>
        <w:rPr>
          <w:rFonts w:hint="eastAsia"/>
        </w:rPr>
        <w:t>低压电路</w:t>
      </w:r>
    </w:p>
    <w:p w14:paraId="1EC28790">
      <w:pPr>
        <w:pStyle w:val="64"/>
        <w:rPr>
          <w:b w:val="0"/>
          <w:bCs w:val="0"/>
          <w:color w:val="auto"/>
          <w:highlight w:val="none"/>
        </w:rPr>
      </w:pPr>
      <w:r>
        <w:rPr>
          <w:rFonts w:hint="eastAsia"/>
        </w:rPr>
        <w:t>低压电路的绝缘水平应符合表</w:t>
      </w:r>
      <w:r>
        <w:rPr>
          <w:rFonts w:hint="eastAsia"/>
          <w:lang w:val="en-US" w:eastAsia="zh-CN"/>
        </w:rPr>
        <w:t>7</w:t>
      </w:r>
      <w:r>
        <w:rPr>
          <w:rFonts w:hint="eastAsia"/>
        </w:rPr>
        <w:t>的要求</w:t>
      </w:r>
      <w:r>
        <w:rPr>
          <w:rFonts w:hint="eastAsia"/>
          <w:lang w:eastAsia="zh-CN"/>
        </w:rPr>
        <w:t>，</w:t>
      </w:r>
      <w:r>
        <w:rPr>
          <w:rStyle w:val="32"/>
          <w:rFonts w:ascii="宋体" w:hAnsi="宋体" w:eastAsia="宋体" w:cs="宋体"/>
          <w:b w:val="0"/>
          <w:bCs w:val="0"/>
          <w:color w:val="auto"/>
          <w:kern w:val="0"/>
          <w:sz w:val="21"/>
          <w:szCs w:val="21"/>
          <w:highlight w:val="none"/>
          <w:lang w:val="en-US" w:eastAsia="zh-CN" w:bidi="ar"/>
        </w:rPr>
        <w:t>与光伏阵列直接连接的直流侧电路，其绝缘水平应按对应电压等级的1.2倍配置。</w:t>
      </w:r>
    </w:p>
    <w:p w14:paraId="27D765E6">
      <w:pPr>
        <w:pStyle w:val="118"/>
      </w:pPr>
      <w:r>
        <w:rPr>
          <w:rFonts w:hint="eastAsia"/>
        </w:rPr>
        <w:t>低压电路的绝缘水平</w:t>
      </w:r>
    </w:p>
    <w:tbl>
      <w:tblPr>
        <w:tblStyle w:val="29"/>
        <w:tblW w:w="4702" w:type="pct"/>
        <w:tblInd w:w="561" w:type="dxa"/>
        <w:tblLayout w:type="autofit"/>
        <w:tblCellMar>
          <w:top w:w="0" w:type="dxa"/>
          <w:left w:w="108" w:type="dxa"/>
          <w:bottom w:w="0" w:type="dxa"/>
          <w:right w:w="108" w:type="dxa"/>
        </w:tblCellMar>
      </w:tblPr>
      <w:tblGrid>
        <w:gridCol w:w="2483"/>
        <w:gridCol w:w="994"/>
        <w:gridCol w:w="1012"/>
        <w:gridCol w:w="1023"/>
        <w:gridCol w:w="1167"/>
        <w:gridCol w:w="2322"/>
      </w:tblGrid>
      <w:tr w14:paraId="53885E8A">
        <w:tblPrEx>
          <w:tblCellMar>
            <w:top w:w="0" w:type="dxa"/>
            <w:left w:w="108" w:type="dxa"/>
            <w:bottom w:w="0" w:type="dxa"/>
            <w:right w:w="108" w:type="dxa"/>
          </w:tblCellMar>
        </w:tblPrEx>
        <w:trPr>
          <w:trHeight w:val="20" w:hRule="atLeast"/>
        </w:trPr>
        <w:tc>
          <w:tcPr>
            <w:tcW w:w="1380" w:type="pct"/>
            <w:vMerge w:val="restart"/>
            <w:tcBorders>
              <w:top w:val="single" w:color="000000" w:sz="4" w:space="0"/>
              <w:left w:val="single" w:color="000000" w:sz="4" w:space="0"/>
              <w:right w:val="single" w:color="000000" w:sz="4" w:space="0"/>
            </w:tcBorders>
            <w:vAlign w:val="center"/>
          </w:tcPr>
          <w:p w14:paraId="0D6CE014">
            <w:pPr>
              <w:pStyle w:val="184"/>
            </w:pPr>
            <w:r>
              <w:rPr>
                <w:rFonts w:hint="eastAsia"/>
              </w:rPr>
              <w:t>系统电压</w:t>
            </w:r>
          </w:p>
          <w:p w14:paraId="24DD2999">
            <w:pPr>
              <w:pStyle w:val="184"/>
            </w:pPr>
            <w:r>
              <w:rPr>
                <w:rFonts w:hint="eastAsia"/>
              </w:rPr>
              <w:t>（交流有效值/直流有效值）</w:t>
            </w:r>
          </w:p>
          <w:p w14:paraId="53918D40">
            <w:pPr>
              <w:pStyle w:val="184"/>
            </w:pPr>
            <w:r>
              <w:rPr>
                <w:rFonts w:hint="eastAsia"/>
              </w:rPr>
              <w:t>V</w:t>
            </w:r>
          </w:p>
        </w:tc>
        <w:tc>
          <w:tcPr>
            <w:tcW w:w="2330" w:type="pct"/>
            <w:gridSpan w:val="4"/>
            <w:tcBorders>
              <w:top w:val="single" w:color="000000" w:sz="4" w:space="0"/>
              <w:left w:val="single" w:color="000000" w:sz="4" w:space="0"/>
              <w:bottom w:val="single" w:color="000000" w:sz="4" w:space="0"/>
              <w:right w:val="single" w:color="auto" w:sz="4" w:space="0"/>
            </w:tcBorders>
            <w:vAlign w:val="center"/>
          </w:tcPr>
          <w:p w14:paraId="11E4B2B5">
            <w:pPr>
              <w:pStyle w:val="184"/>
            </w:pPr>
            <w:r>
              <w:rPr>
                <w:rFonts w:hint="eastAsia"/>
              </w:rPr>
              <w:t>脉冲耐受电压</w:t>
            </w:r>
          </w:p>
          <w:p w14:paraId="0DA89729">
            <w:pPr>
              <w:pStyle w:val="184"/>
            </w:pPr>
            <w:r>
              <w:rPr>
                <w:rFonts w:hint="eastAsia"/>
              </w:rPr>
              <w:t>V</w:t>
            </w:r>
          </w:p>
        </w:tc>
        <w:tc>
          <w:tcPr>
            <w:tcW w:w="1288" w:type="pct"/>
            <w:vMerge w:val="restart"/>
            <w:tcBorders>
              <w:top w:val="single" w:color="auto" w:sz="4" w:space="0"/>
              <w:left w:val="single" w:color="auto" w:sz="4" w:space="0"/>
              <w:right w:val="single" w:color="auto" w:sz="4" w:space="0"/>
            </w:tcBorders>
            <w:vAlign w:val="center"/>
          </w:tcPr>
          <w:p w14:paraId="17BBA55D">
            <w:pPr>
              <w:pStyle w:val="184"/>
            </w:pPr>
            <w:r>
              <w:rPr>
                <w:rFonts w:hint="eastAsia"/>
              </w:rPr>
              <w:t>暂时过电压</w:t>
            </w:r>
          </w:p>
          <w:p w14:paraId="14C38D5F">
            <w:pPr>
              <w:pStyle w:val="184"/>
            </w:pPr>
            <w:r>
              <w:rPr>
                <w:rFonts w:hint="eastAsia"/>
              </w:rPr>
              <w:t>（峰值/有效值）</w:t>
            </w:r>
          </w:p>
          <w:p w14:paraId="2D132BE9">
            <w:pPr>
              <w:pStyle w:val="184"/>
            </w:pPr>
            <w:r>
              <w:rPr>
                <w:rFonts w:hint="eastAsia"/>
              </w:rPr>
              <w:t>V</w:t>
            </w:r>
          </w:p>
        </w:tc>
      </w:tr>
      <w:tr w14:paraId="4ABCE494">
        <w:tblPrEx>
          <w:tblCellMar>
            <w:top w:w="0" w:type="dxa"/>
            <w:left w:w="108" w:type="dxa"/>
            <w:bottom w:w="0" w:type="dxa"/>
            <w:right w:w="108" w:type="dxa"/>
          </w:tblCellMar>
        </w:tblPrEx>
        <w:trPr>
          <w:trHeight w:val="20" w:hRule="atLeast"/>
        </w:trPr>
        <w:tc>
          <w:tcPr>
            <w:tcW w:w="1380" w:type="pct"/>
            <w:vMerge w:val="continue"/>
            <w:tcBorders>
              <w:left w:val="single" w:color="000000" w:sz="4" w:space="0"/>
              <w:right w:val="single" w:color="000000" w:sz="4" w:space="0"/>
            </w:tcBorders>
            <w:vAlign w:val="center"/>
          </w:tcPr>
          <w:p w14:paraId="319FA641">
            <w:pPr>
              <w:pStyle w:val="184"/>
            </w:pPr>
          </w:p>
        </w:tc>
        <w:tc>
          <w:tcPr>
            <w:tcW w:w="2330" w:type="pct"/>
            <w:gridSpan w:val="4"/>
            <w:tcBorders>
              <w:top w:val="single" w:color="000000" w:sz="4" w:space="0"/>
              <w:left w:val="single" w:color="000000" w:sz="4" w:space="0"/>
              <w:bottom w:val="single" w:color="000000" w:sz="4" w:space="0"/>
              <w:right w:val="single" w:color="auto" w:sz="4" w:space="0"/>
            </w:tcBorders>
            <w:vAlign w:val="center"/>
          </w:tcPr>
          <w:p w14:paraId="54B9E873">
            <w:pPr>
              <w:pStyle w:val="184"/>
            </w:pPr>
            <w:r>
              <w:rPr>
                <w:rFonts w:hint="eastAsia"/>
              </w:rPr>
              <w:t>过电压等级</w:t>
            </w:r>
          </w:p>
        </w:tc>
        <w:tc>
          <w:tcPr>
            <w:tcW w:w="1288" w:type="pct"/>
            <w:vMerge w:val="continue"/>
            <w:tcBorders>
              <w:left w:val="single" w:color="auto" w:sz="4" w:space="0"/>
              <w:right w:val="single" w:color="auto" w:sz="4" w:space="0"/>
            </w:tcBorders>
            <w:vAlign w:val="center"/>
          </w:tcPr>
          <w:p w14:paraId="7B175FA3">
            <w:pPr>
              <w:pStyle w:val="184"/>
            </w:pPr>
          </w:p>
        </w:tc>
      </w:tr>
      <w:tr w14:paraId="2615C545">
        <w:tblPrEx>
          <w:tblCellMar>
            <w:top w:w="0" w:type="dxa"/>
            <w:left w:w="108" w:type="dxa"/>
            <w:bottom w:w="0" w:type="dxa"/>
            <w:right w:w="108" w:type="dxa"/>
          </w:tblCellMar>
        </w:tblPrEx>
        <w:trPr>
          <w:trHeight w:val="20" w:hRule="atLeast"/>
        </w:trPr>
        <w:tc>
          <w:tcPr>
            <w:tcW w:w="1380" w:type="pct"/>
            <w:vMerge w:val="continue"/>
            <w:tcBorders>
              <w:left w:val="single" w:color="000000" w:sz="4" w:space="0"/>
              <w:bottom w:val="single" w:color="000000" w:sz="4" w:space="0"/>
              <w:right w:val="single" w:color="000000" w:sz="4" w:space="0"/>
            </w:tcBorders>
            <w:vAlign w:val="center"/>
          </w:tcPr>
          <w:p w14:paraId="4B99DF0D">
            <w:pPr>
              <w:pStyle w:val="184"/>
            </w:pPr>
          </w:p>
        </w:tc>
        <w:tc>
          <w:tcPr>
            <w:tcW w:w="552" w:type="pct"/>
            <w:tcBorders>
              <w:top w:val="single" w:color="000000" w:sz="4" w:space="0"/>
              <w:left w:val="single" w:color="000000" w:sz="4" w:space="0"/>
              <w:bottom w:val="single" w:color="000000" w:sz="4" w:space="0"/>
              <w:right w:val="single" w:color="000000" w:sz="4" w:space="0"/>
            </w:tcBorders>
            <w:vAlign w:val="center"/>
          </w:tcPr>
          <w:p w14:paraId="690ED507">
            <w:pPr>
              <w:pStyle w:val="184"/>
            </w:pPr>
            <w:r>
              <w:rPr>
                <w:rFonts w:hint="eastAsia"/>
              </w:rPr>
              <w:t>Ⅰ</w:t>
            </w:r>
          </w:p>
        </w:tc>
        <w:tc>
          <w:tcPr>
            <w:tcW w:w="562" w:type="pct"/>
            <w:tcBorders>
              <w:top w:val="single" w:color="000000" w:sz="4" w:space="0"/>
              <w:left w:val="single" w:color="000000" w:sz="4" w:space="0"/>
              <w:bottom w:val="single" w:color="000000" w:sz="4" w:space="0"/>
              <w:right w:val="single" w:color="000000" w:sz="4" w:space="0"/>
            </w:tcBorders>
            <w:vAlign w:val="center"/>
          </w:tcPr>
          <w:p w14:paraId="790F6F8A">
            <w:pPr>
              <w:pStyle w:val="184"/>
            </w:pPr>
            <w:r>
              <w:rPr>
                <w:rFonts w:hint="eastAsia"/>
              </w:rPr>
              <w:t>Ⅱ</w:t>
            </w:r>
          </w:p>
        </w:tc>
        <w:tc>
          <w:tcPr>
            <w:tcW w:w="568" w:type="pct"/>
            <w:tcBorders>
              <w:top w:val="single" w:color="000000" w:sz="4" w:space="0"/>
              <w:left w:val="single" w:color="000000" w:sz="4" w:space="0"/>
              <w:bottom w:val="single" w:color="000000" w:sz="4" w:space="0"/>
              <w:right w:val="single" w:color="auto" w:sz="4" w:space="0"/>
            </w:tcBorders>
            <w:vAlign w:val="center"/>
          </w:tcPr>
          <w:p w14:paraId="603706F4">
            <w:pPr>
              <w:pStyle w:val="184"/>
            </w:pPr>
            <w:r>
              <w:rPr>
                <w:rFonts w:hint="eastAsia"/>
              </w:rPr>
              <w:t>Ⅲ</w:t>
            </w:r>
          </w:p>
        </w:tc>
        <w:tc>
          <w:tcPr>
            <w:tcW w:w="648" w:type="pct"/>
            <w:tcBorders>
              <w:top w:val="single" w:color="auto" w:sz="4" w:space="0"/>
              <w:left w:val="single" w:color="auto" w:sz="4" w:space="0"/>
              <w:bottom w:val="single" w:color="auto" w:sz="4" w:space="0"/>
              <w:right w:val="single" w:color="auto" w:sz="4" w:space="0"/>
            </w:tcBorders>
            <w:vAlign w:val="center"/>
          </w:tcPr>
          <w:p w14:paraId="3A12A85D">
            <w:pPr>
              <w:pStyle w:val="184"/>
            </w:pPr>
            <w:r>
              <w:rPr>
                <w:rFonts w:hint="eastAsia"/>
              </w:rPr>
              <w:t>Ⅳ</w:t>
            </w:r>
          </w:p>
        </w:tc>
        <w:tc>
          <w:tcPr>
            <w:tcW w:w="1288" w:type="pct"/>
            <w:vMerge w:val="continue"/>
            <w:tcBorders>
              <w:left w:val="single" w:color="auto" w:sz="4" w:space="0"/>
              <w:bottom w:val="single" w:color="auto" w:sz="4" w:space="0"/>
              <w:right w:val="single" w:color="auto" w:sz="4" w:space="0"/>
            </w:tcBorders>
            <w:vAlign w:val="center"/>
          </w:tcPr>
          <w:p w14:paraId="78D1DCEF">
            <w:pPr>
              <w:pStyle w:val="184"/>
            </w:pPr>
          </w:p>
        </w:tc>
      </w:tr>
      <w:tr w14:paraId="0D5EE5AE">
        <w:tblPrEx>
          <w:tblCellMar>
            <w:top w:w="0" w:type="dxa"/>
            <w:left w:w="108" w:type="dxa"/>
            <w:bottom w:w="0" w:type="dxa"/>
            <w:right w:w="108" w:type="dxa"/>
          </w:tblCellMar>
        </w:tblPrEx>
        <w:trPr>
          <w:trHeight w:val="20" w:hRule="atLeast"/>
        </w:trPr>
        <w:tc>
          <w:tcPr>
            <w:tcW w:w="1380" w:type="pct"/>
            <w:tcBorders>
              <w:top w:val="single" w:color="000000" w:sz="4" w:space="0"/>
              <w:left w:val="single" w:color="000000" w:sz="4" w:space="0"/>
              <w:bottom w:val="single" w:color="000000" w:sz="4" w:space="0"/>
              <w:right w:val="single" w:color="000000" w:sz="4" w:space="0"/>
            </w:tcBorders>
            <w:vAlign w:val="center"/>
          </w:tcPr>
          <w:p w14:paraId="2C3DB911">
            <w:pPr>
              <w:pStyle w:val="184"/>
            </w:pPr>
            <w:r>
              <w:rPr>
                <w:rFonts w:hint="eastAsia"/>
              </w:rPr>
              <w:t>50/70</w:t>
            </w:r>
          </w:p>
        </w:tc>
        <w:tc>
          <w:tcPr>
            <w:tcW w:w="552" w:type="pct"/>
            <w:tcBorders>
              <w:top w:val="single" w:color="000000" w:sz="4" w:space="0"/>
              <w:left w:val="single" w:color="000000" w:sz="4" w:space="0"/>
              <w:bottom w:val="single" w:color="000000" w:sz="4" w:space="0"/>
              <w:right w:val="single" w:color="000000" w:sz="4" w:space="0"/>
            </w:tcBorders>
            <w:vAlign w:val="center"/>
          </w:tcPr>
          <w:p w14:paraId="56F18236">
            <w:pPr>
              <w:pStyle w:val="184"/>
            </w:pPr>
            <w:r>
              <w:rPr>
                <w:rFonts w:hint="eastAsia"/>
              </w:rPr>
              <w:t>330</w:t>
            </w:r>
          </w:p>
        </w:tc>
        <w:tc>
          <w:tcPr>
            <w:tcW w:w="1012" w:type="dxa"/>
            <w:tcBorders>
              <w:top w:val="single" w:color="000000" w:sz="4" w:space="0"/>
              <w:left w:val="single" w:color="000000" w:sz="4" w:space="0"/>
              <w:bottom w:val="single" w:color="000000" w:sz="4" w:space="0"/>
              <w:right w:val="single" w:color="000000" w:sz="4" w:space="0"/>
            </w:tcBorders>
            <w:vAlign w:val="center"/>
          </w:tcPr>
          <w:p w14:paraId="0A1D44EF">
            <w:pPr>
              <w:pStyle w:val="184"/>
            </w:pPr>
            <w:r>
              <w:rPr>
                <w:rFonts w:hint="eastAsia"/>
              </w:rPr>
              <w:t>500</w:t>
            </w:r>
          </w:p>
        </w:tc>
        <w:tc>
          <w:tcPr>
            <w:tcW w:w="1023" w:type="dxa"/>
            <w:tcBorders>
              <w:top w:val="single" w:color="000000" w:sz="4" w:space="0"/>
              <w:left w:val="single" w:color="000000" w:sz="4" w:space="0"/>
              <w:bottom w:val="single" w:color="000000" w:sz="4" w:space="0"/>
              <w:right w:val="single" w:color="auto" w:sz="4" w:space="0"/>
            </w:tcBorders>
            <w:vAlign w:val="center"/>
          </w:tcPr>
          <w:p w14:paraId="1FEA4D35">
            <w:pPr>
              <w:pStyle w:val="184"/>
            </w:pPr>
            <w:r>
              <w:rPr>
                <w:rFonts w:hint="eastAsia"/>
              </w:rPr>
              <w:t>800</w:t>
            </w:r>
          </w:p>
        </w:tc>
        <w:tc>
          <w:tcPr>
            <w:tcW w:w="1167" w:type="dxa"/>
            <w:tcBorders>
              <w:top w:val="single" w:color="auto" w:sz="4" w:space="0"/>
              <w:left w:val="single" w:color="auto" w:sz="4" w:space="0"/>
              <w:bottom w:val="single" w:color="auto" w:sz="4" w:space="0"/>
              <w:right w:val="single" w:color="auto" w:sz="4" w:space="0"/>
            </w:tcBorders>
            <w:vAlign w:val="center"/>
          </w:tcPr>
          <w:p w14:paraId="7AA0AF8F">
            <w:pPr>
              <w:pStyle w:val="184"/>
            </w:pPr>
            <w:r>
              <w:rPr>
                <w:rFonts w:hint="eastAsia"/>
              </w:rPr>
              <w:t>1500</w:t>
            </w:r>
          </w:p>
        </w:tc>
        <w:tc>
          <w:tcPr>
            <w:tcW w:w="1288" w:type="pct"/>
            <w:tcBorders>
              <w:top w:val="single" w:color="auto" w:sz="4" w:space="0"/>
              <w:left w:val="single" w:color="auto" w:sz="4" w:space="0"/>
              <w:bottom w:val="single" w:color="auto" w:sz="4" w:space="0"/>
              <w:right w:val="single" w:color="auto" w:sz="4" w:space="0"/>
            </w:tcBorders>
            <w:vAlign w:val="center"/>
          </w:tcPr>
          <w:p w14:paraId="017C01D4">
            <w:pPr>
              <w:pStyle w:val="184"/>
            </w:pPr>
            <w:r>
              <w:rPr>
                <w:rFonts w:hint="eastAsia"/>
              </w:rPr>
              <w:t>1770/1250</w:t>
            </w:r>
          </w:p>
        </w:tc>
      </w:tr>
      <w:tr w14:paraId="1947CD38">
        <w:tblPrEx>
          <w:tblCellMar>
            <w:top w:w="0" w:type="dxa"/>
            <w:left w:w="108" w:type="dxa"/>
            <w:bottom w:w="0" w:type="dxa"/>
            <w:right w:w="108" w:type="dxa"/>
          </w:tblCellMar>
        </w:tblPrEx>
        <w:trPr>
          <w:trHeight w:val="20" w:hRule="atLeast"/>
        </w:trPr>
        <w:tc>
          <w:tcPr>
            <w:tcW w:w="1380" w:type="pct"/>
            <w:tcBorders>
              <w:top w:val="single" w:color="000000" w:sz="4" w:space="0"/>
              <w:left w:val="single" w:color="000000" w:sz="4" w:space="0"/>
              <w:bottom w:val="single" w:color="000000" w:sz="4" w:space="0"/>
              <w:right w:val="single" w:color="000000" w:sz="4" w:space="0"/>
            </w:tcBorders>
            <w:vAlign w:val="center"/>
          </w:tcPr>
          <w:p w14:paraId="0C9DF884">
            <w:pPr>
              <w:pStyle w:val="184"/>
              <w:rPr>
                <w:rFonts w:hint="eastAsia" w:eastAsia="宋体"/>
                <w:lang w:val="en-US" w:eastAsia="zh-CN"/>
              </w:rPr>
            </w:pPr>
            <w:r>
              <w:rPr>
                <w:rFonts w:hint="eastAsia"/>
              </w:rPr>
              <w:t>100/141</w:t>
            </w:r>
          </w:p>
        </w:tc>
        <w:tc>
          <w:tcPr>
            <w:tcW w:w="552" w:type="pct"/>
            <w:tcBorders>
              <w:top w:val="single" w:color="000000" w:sz="4" w:space="0"/>
              <w:left w:val="single" w:color="000000" w:sz="4" w:space="0"/>
              <w:bottom w:val="single" w:color="000000" w:sz="4" w:space="0"/>
              <w:right w:val="single" w:color="000000" w:sz="4" w:space="0"/>
            </w:tcBorders>
            <w:vAlign w:val="center"/>
          </w:tcPr>
          <w:p w14:paraId="235396B1">
            <w:pPr>
              <w:pStyle w:val="184"/>
            </w:pPr>
            <w:r>
              <w:rPr>
                <w:rFonts w:hint="eastAsia"/>
              </w:rPr>
              <w:t>500</w:t>
            </w:r>
          </w:p>
        </w:tc>
        <w:tc>
          <w:tcPr>
            <w:tcW w:w="1012" w:type="dxa"/>
            <w:tcBorders>
              <w:top w:val="single" w:color="000000" w:sz="4" w:space="0"/>
              <w:left w:val="single" w:color="000000" w:sz="4" w:space="0"/>
              <w:bottom w:val="single" w:color="000000" w:sz="4" w:space="0"/>
              <w:right w:val="single" w:color="000000" w:sz="4" w:space="0"/>
            </w:tcBorders>
            <w:vAlign w:val="center"/>
          </w:tcPr>
          <w:p w14:paraId="58C8BF02">
            <w:pPr>
              <w:pStyle w:val="184"/>
            </w:pPr>
            <w:r>
              <w:rPr>
                <w:rFonts w:hint="eastAsia"/>
              </w:rPr>
              <w:t>800</w:t>
            </w:r>
          </w:p>
        </w:tc>
        <w:tc>
          <w:tcPr>
            <w:tcW w:w="1023" w:type="dxa"/>
            <w:tcBorders>
              <w:top w:val="single" w:color="000000" w:sz="4" w:space="0"/>
              <w:left w:val="single" w:color="000000" w:sz="4" w:space="0"/>
              <w:bottom w:val="single" w:color="000000" w:sz="4" w:space="0"/>
              <w:right w:val="single" w:color="auto" w:sz="4" w:space="0"/>
            </w:tcBorders>
            <w:vAlign w:val="center"/>
          </w:tcPr>
          <w:p w14:paraId="2854827D">
            <w:pPr>
              <w:pStyle w:val="184"/>
            </w:pPr>
            <w:r>
              <w:rPr>
                <w:rFonts w:hint="eastAsia"/>
              </w:rPr>
              <w:t>1500</w:t>
            </w:r>
          </w:p>
        </w:tc>
        <w:tc>
          <w:tcPr>
            <w:tcW w:w="1167" w:type="dxa"/>
            <w:tcBorders>
              <w:top w:val="single" w:color="auto" w:sz="4" w:space="0"/>
              <w:left w:val="single" w:color="auto" w:sz="4" w:space="0"/>
              <w:bottom w:val="single" w:color="auto" w:sz="4" w:space="0"/>
              <w:right w:val="single" w:color="auto" w:sz="4" w:space="0"/>
            </w:tcBorders>
            <w:vAlign w:val="center"/>
          </w:tcPr>
          <w:p w14:paraId="4D1EAD9B">
            <w:pPr>
              <w:pStyle w:val="184"/>
            </w:pPr>
            <w:r>
              <w:rPr>
                <w:rFonts w:hint="eastAsia"/>
              </w:rPr>
              <w:t>2500</w:t>
            </w:r>
          </w:p>
        </w:tc>
        <w:tc>
          <w:tcPr>
            <w:tcW w:w="1288" w:type="pct"/>
            <w:tcBorders>
              <w:top w:val="single" w:color="auto" w:sz="4" w:space="0"/>
              <w:left w:val="single" w:color="auto" w:sz="4" w:space="0"/>
              <w:bottom w:val="single" w:color="auto" w:sz="4" w:space="0"/>
              <w:right w:val="single" w:color="auto" w:sz="4" w:space="0"/>
            </w:tcBorders>
            <w:vAlign w:val="center"/>
          </w:tcPr>
          <w:p w14:paraId="2CF6F5FE">
            <w:pPr>
              <w:pStyle w:val="184"/>
            </w:pPr>
            <w:r>
              <w:rPr>
                <w:rFonts w:hint="eastAsia"/>
              </w:rPr>
              <w:t>1840/1330</w:t>
            </w:r>
          </w:p>
        </w:tc>
      </w:tr>
      <w:tr w14:paraId="61B79434">
        <w:tblPrEx>
          <w:tblCellMar>
            <w:top w:w="0" w:type="dxa"/>
            <w:left w:w="108" w:type="dxa"/>
            <w:bottom w:w="0" w:type="dxa"/>
            <w:right w:w="108" w:type="dxa"/>
          </w:tblCellMar>
        </w:tblPrEx>
        <w:trPr>
          <w:trHeight w:val="20" w:hRule="atLeast"/>
        </w:trPr>
        <w:tc>
          <w:tcPr>
            <w:tcW w:w="1380" w:type="pct"/>
            <w:tcBorders>
              <w:top w:val="single" w:color="000000" w:sz="4" w:space="0"/>
              <w:left w:val="single" w:color="000000" w:sz="4" w:space="0"/>
              <w:bottom w:val="single" w:color="000000" w:sz="4" w:space="0"/>
              <w:right w:val="single" w:color="000000" w:sz="4" w:space="0"/>
            </w:tcBorders>
            <w:vAlign w:val="center"/>
          </w:tcPr>
          <w:p w14:paraId="72989CCE">
            <w:pPr>
              <w:pStyle w:val="184"/>
            </w:pPr>
            <w:r>
              <w:rPr>
                <w:rFonts w:hint="eastAsia"/>
              </w:rPr>
              <w:t>150/213</w:t>
            </w:r>
          </w:p>
        </w:tc>
        <w:tc>
          <w:tcPr>
            <w:tcW w:w="552" w:type="pct"/>
            <w:tcBorders>
              <w:top w:val="single" w:color="000000" w:sz="4" w:space="0"/>
              <w:left w:val="single" w:color="000000" w:sz="4" w:space="0"/>
              <w:bottom w:val="single" w:color="000000" w:sz="4" w:space="0"/>
              <w:right w:val="single" w:color="000000" w:sz="4" w:space="0"/>
            </w:tcBorders>
            <w:vAlign w:val="center"/>
          </w:tcPr>
          <w:p w14:paraId="63C48544">
            <w:pPr>
              <w:pStyle w:val="184"/>
            </w:pPr>
            <w:r>
              <w:rPr>
                <w:rFonts w:hint="eastAsia"/>
              </w:rPr>
              <w:t>800</w:t>
            </w:r>
          </w:p>
        </w:tc>
        <w:tc>
          <w:tcPr>
            <w:tcW w:w="1012" w:type="dxa"/>
            <w:tcBorders>
              <w:top w:val="single" w:color="000000" w:sz="4" w:space="0"/>
              <w:left w:val="single" w:color="000000" w:sz="4" w:space="0"/>
              <w:bottom w:val="single" w:color="000000" w:sz="4" w:space="0"/>
              <w:right w:val="single" w:color="000000" w:sz="4" w:space="0"/>
            </w:tcBorders>
            <w:vAlign w:val="center"/>
          </w:tcPr>
          <w:p w14:paraId="05397A6B">
            <w:pPr>
              <w:pStyle w:val="184"/>
            </w:pPr>
            <w:r>
              <w:rPr>
                <w:rFonts w:hint="eastAsia"/>
              </w:rPr>
              <w:t>1500</w:t>
            </w:r>
          </w:p>
        </w:tc>
        <w:tc>
          <w:tcPr>
            <w:tcW w:w="1023" w:type="dxa"/>
            <w:tcBorders>
              <w:top w:val="single" w:color="000000" w:sz="4" w:space="0"/>
              <w:left w:val="single" w:color="000000" w:sz="4" w:space="0"/>
              <w:bottom w:val="single" w:color="000000" w:sz="4" w:space="0"/>
              <w:right w:val="single" w:color="000000" w:sz="4" w:space="0"/>
            </w:tcBorders>
            <w:vAlign w:val="center"/>
          </w:tcPr>
          <w:p w14:paraId="0919FFE4">
            <w:pPr>
              <w:pStyle w:val="184"/>
            </w:pPr>
            <w:r>
              <w:rPr>
                <w:rFonts w:hint="eastAsia"/>
              </w:rPr>
              <w:t>2500</w:t>
            </w:r>
          </w:p>
        </w:tc>
        <w:tc>
          <w:tcPr>
            <w:tcW w:w="1167" w:type="dxa"/>
            <w:tcBorders>
              <w:top w:val="single" w:color="auto" w:sz="4" w:space="0"/>
              <w:left w:val="single" w:color="000000" w:sz="4" w:space="0"/>
              <w:bottom w:val="single" w:color="000000" w:sz="4" w:space="0"/>
              <w:right w:val="single" w:color="000000" w:sz="4" w:space="0"/>
            </w:tcBorders>
            <w:vAlign w:val="center"/>
          </w:tcPr>
          <w:p w14:paraId="457A76F7">
            <w:pPr>
              <w:pStyle w:val="184"/>
            </w:pPr>
            <w:r>
              <w:rPr>
                <w:rFonts w:hint="eastAsia"/>
              </w:rPr>
              <w:t>4000</w:t>
            </w:r>
          </w:p>
        </w:tc>
        <w:tc>
          <w:tcPr>
            <w:tcW w:w="1288" w:type="pct"/>
            <w:tcBorders>
              <w:top w:val="single" w:color="auto" w:sz="4" w:space="0"/>
              <w:left w:val="single" w:color="000000" w:sz="4" w:space="0"/>
              <w:bottom w:val="single" w:color="000000" w:sz="4" w:space="0"/>
              <w:right w:val="single" w:color="000000" w:sz="4" w:space="0"/>
            </w:tcBorders>
            <w:vAlign w:val="center"/>
          </w:tcPr>
          <w:p w14:paraId="0632B0DC">
            <w:pPr>
              <w:pStyle w:val="184"/>
            </w:pPr>
            <w:r>
              <w:rPr>
                <w:rFonts w:hint="eastAsia"/>
              </w:rPr>
              <w:t>1910/1350</w:t>
            </w:r>
          </w:p>
        </w:tc>
      </w:tr>
      <w:tr w14:paraId="6A194DE5">
        <w:tblPrEx>
          <w:tblCellMar>
            <w:top w:w="0" w:type="dxa"/>
            <w:left w:w="108" w:type="dxa"/>
            <w:bottom w:w="0" w:type="dxa"/>
            <w:right w:w="108" w:type="dxa"/>
          </w:tblCellMar>
        </w:tblPrEx>
        <w:trPr>
          <w:trHeight w:val="20" w:hRule="atLeast"/>
        </w:trPr>
        <w:tc>
          <w:tcPr>
            <w:tcW w:w="1380" w:type="pct"/>
            <w:tcBorders>
              <w:top w:val="single" w:color="000000" w:sz="4" w:space="0"/>
              <w:left w:val="single" w:color="000000" w:sz="4" w:space="0"/>
              <w:bottom w:val="single" w:color="000000" w:sz="4" w:space="0"/>
              <w:right w:val="single" w:color="000000" w:sz="4" w:space="0"/>
            </w:tcBorders>
            <w:vAlign w:val="center"/>
          </w:tcPr>
          <w:p w14:paraId="5ABD7624">
            <w:pPr>
              <w:pStyle w:val="184"/>
            </w:pPr>
            <w:r>
              <w:rPr>
                <w:rFonts w:hint="eastAsia"/>
              </w:rPr>
              <w:t>300/424</w:t>
            </w:r>
          </w:p>
        </w:tc>
        <w:tc>
          <w:tcPr>
            <w:tcW w:w="552" w:type="pct"/>
            <w:tcBorders>
              <w:top w:val="single" w:color="000000" w:sz="4" w:space="0"/>
              <w:left w:val="single" w:color="000000" w:sz="4" w:space="0"/>
              <w:bottom w:val="single" w:color="000000" w:sz="4" w:space="0"/>
              <w:right w:val="single" w:color="000000" w:sz="4" w:space="0"/>
            </w:tcBorders>
            <w:vAlign w:val="center"/>
          </w:tcPr>
          <w:p w14:paraId="316A2875">
            <w:pPr>
              <w:pStyle w:val="184"/>
            </w:pPr>
            <w:r>
              <w:rPr>
                <w:rFonts w:hint="eastAsia"/>
              </w:rPr>
              <w:t>1500</w:t>
            </w:r>
          </w:p>
        </w:tc>
        <w:tc>
          <w:tcPr>
            <w:tcW w:w="1012" w:type="dxa"/>
            <w:tcBorders>
              <w:top w:val="single" w:color="000000" w:sz="4" w:space="0"/>
              <w:left w:val="single" w:color="000000" w:sz="4" w:space="0"/>
              <w:bottom w:val="single" w:color="000000" w:sz="4" w:space="0"/>
              <w:right w:val="single" w:color="000000" w:sz="4" w:space="0"/>
            </w:tcBorders>
            <w:vAlign w:val="center"/>
          </w:tcPr>
          <w:p w14:paraId="509EE120">
            <w:pPr>
              <w:pStyle w:val="184"/>
            </w:pPr>
            <w:r>
              <w:rPr>
                <w:rFonts w:hint="eastAsia"/>
              </w:rPr>
              <w:t>2500</w:t>
            </w:r>
          </w:p>
        </w:tc>
        <w:tc>
          <w:tcPr>
            <w:tcW w:w="1023" w:type="dxa"/>
            <w:tcBorders>
              <w:top w:val="single" w:color="000000" w:sz="4" w:space="0"/>
              <w:left w:val="single" w:color="000000" w:sz="4" w:space="0"/>
              <w:bottom w:val="single" w:color="000000" w:sz="4" w:space="0"/>
              <w:right w:val="single" w:color="000000" w:sz="4" w:space="0"/>
            </w:tcBorders>
            <w:vAlign w:val="center"/>
          </w:tcPr>
          <w:p w14:paraId="7A2F738B">
            <w:pPr>
              <w:pStyle w:val="184"/>
            </w:pPr>
            <w:r>
              <w:rPr>
                <w:rFonts w:hint="eastAsia"/>
              </w:rPr>
              <w:t>4000</w:t>
            </w:r>
          </w:p>
        </w:tc>
        <w:tc>
          <w:tcPr>
            <w:tcW w:w="1167" w:type="dxa"/>
            <w:tcBorders>
              <w:top w:val="single" w:color="000000" w:sz="4" w:space="0"/>
              <w:left w:val="single" w:color="000000" w:sz="4" w:space="0"/>
              <w:bottom w:val="single" w:color="000000" w:sz="4" w:space="0"/>
              <w:right w:val="single" w:color="000000" w:sz="4" w:space="0"/>
            </w:tcBorders>
            <w:vAlign w:val="center"/>
          </w:tcPr>
          <w:p w14:paraId="0970A36B">
            <w:pPr>
              <w:pStyle w:val="184"/>
            </w:pPr>
            <w:r>
              <w:rPr>
                <w:rFonts w:hint="eastAsia"/>
              </w:rPr>
              <w:t>6000</w:t>
            </w:r>
          </w:p>
        </w:tc>
        <w:tc>
          <w:tcPr>
            <w:tcW w:w="1288" w:type="pct"/>
            <w:tcBorders>
              <w:top w:val="single" w:color="000000" w:sz="4" w:space="0"/>
              <w:left w:val="single" w:color="000000" w:sz="4" w:space="0"/>
              <w:bottom w:val="single" w:color="000000" w:sz="4" w:space="0"/>
              <w:right w:val="single" w:color="000000" w:sz="4" w:space="0"/>
            </w:tcBorders>
            <w:vAlign w:val="center"/>
          </w:tcPr>
          <w:p w14:paraId="413A0687">
            <w:pPr>
              <w:pStyle w:val="184"/>
            </w:pPr>
            <w:r>
              <w:rPr>
                <w:rFonts w:hint="eastAsia"/>
              </w:rPr>
              <w:t>2120/1500</w:t>
            </w:r>
          </w:p>
        </w:tc>
      </w:tr>
      <w:tr w14:paraId="19F303D9">
        <w:tblPrEx>
          <w:tblCellMar>
            <w:top w:w="0" w:type="dxa"/>
            <w:left w:w="108" w:type="dxa"/>
            <w:bottom w:w="0" w:type="dxa"/>
            <w:right w:w="108" w:type="dxa"/>
          </w:tblCellMar>
        </w:tblPrEx>
        <w:trPr>
          <w:trHeight w:val="20" w:hRule="atLeast"/>
        </w:trPr>
        <w:tc>
          <w:tcPr>
            <w:tcW w:w="1380" w:type="pct"/>
            <w:tcBorders>
              <w:top w:val="single" w:color="000000" w:sz="4" w:space="0"/>
              <w:left w:val="single" w:color="000000" w:sz="4" w:space="0"/>
              <w:bottom w:val="single" w:color="000000" w:sz="4" w:space="0"/>
              <w:right w:val="single" w:color="000000" w:sz="4" w:space="0"/>
            </w:tcBorders>
            <w:vAlign w:val="center"/>
          </w:tcPr>
          <w:p w14:paraId="67CE36C3">
            <w:pPr>
              <w:pStyle w:val="184"/>
            </w:pPr>
            <w:r>
              <w:rPr>
                <w:rFonts w:hint="eastAsia"/>
              </w:rPr>
              <w:t>600/849</w:t>
            </w:r>
          </w:p>
        </w:tc>
        <w:tc>
          <w:tcPr>
            <w:tcW w:w="552" w:type="pct"/>
            <w:tcBorders>
              <w:top w:val="single" w:color="000000" w:sz="4" w:space="0"/>
              <w:left w:val="single" w:color="000000" w:sz="4" w:space="0"/>
              <w:bottom w:val="single" w:color="000000" w:sz="4" w:space="0"/>
              <w:right w:val="single" w:color="000000" w:sz="4" w:space="0"/>
            </w:tcBorders>
            <w:vAlign w:val="center"/>
          </w:tcPr>
          <w:p w14:paraId="6D17B83F">
            <w:pPr>
              <w:pStyle w:val="184"/>
            </w:pPr>
            <w:r>
              <w:rPr>
                <w:rFonts w:hint="eastAsia"/>
              </w:rPr>
              <w:t>2500</w:t>
            </w:r>
          </w:p>
        </w:tc>
        <w:tc>
          <w:tcPr>
            <w:tcW w:w="1012" w:type="dxa"/>
            <w:tcBorders>
              <w:top w:val="single" w:color="000000" w:sz="4" w:space="0"/>
              <w:left w:val="single" w:color="000000" w:sz="4" w:space="0"/>
              <w:bottom w:val="single" w:color="000000" w:sz="4" w:space="0"/>
              <w:right w:val="single" w:color="000000" w:sz="4" w:space="0"/>
            </w:tcBorders>
            <w:vAlign w:val="center"/>
          </w:tcPr>
          <w:p w14:paraId="420427D2">
            <w:pPr>
              <w:pStyle w:val="184"/>
            </w:pPr>
            <w:r>
              <w:rPr>
                <w:rFonts w:hint="eastAsia"/>
              </w:rPr>
              <w:t>4000</w:t>
            </w:r>
          </w:p>
        </w:tc>
        <w:tc>
          <w:tcPr>
            <w:tcW w:w="1023" w:type="dxa"/>
            <w:tcBorders>
              <w:top w:val="single" w:color="000000" w:sz="4" w:space="0"/>
              <w:left w:val="single" w:color="000000" w:sz="4" w:space="0"/>
              <w:bottom w:val="single" w:color="000000" w:sz="4" w:space="0"/>
              <w:right w:val="single" w:color="000000" w:sz="4" w:space="0"/>
            </w:tcBorders>
            <w:vAlign w:val="center"/>
          </w:tcPr>
          <w:p w14:paraId="34788286">
            <w:pPr>
              <w:pStyle w:val="184"/>
            </w:pPr>
            <w:r>
              <w:rPr>
                <w:rFonts w:hint="eastAsia"/>
              </w:rPr>
              <w:t>6000</w:t>
            </w:r>
          </w:p>
        </w:tc>
        <w:tc>
          <w:tcPr>
            <w:tcW w:w="1167" w:type="dxa"/>
            <w:tcBorders>
              <w:top w:val="single" w:color="000000" w:sz="4" w:space="0"/>
              <w:left w:val="single" w:color="000000" w:sz="4" w:space="0"/>
              <w:bottom w:val="single" w:color="000000" w:sz="4" w:space="0"/>
              <w:right w:val="single" w:color="000000" w:sz="4" w:space="0"/>
            </w:tcBorders>
            <w:vAlign w:val="center"/>
          </w:tcPr>
          <w:p w14:paraId="0E34235A">
            <w:pPr>
              <w:pStyle w:val="184"/>
            </w:pPr>
            <w:r>
              <w:rPr>
                <w:rFonts w:hint="eastAsia"/>
              </w:rPr>
              <w:t>8000</w:t>
            </w:r>
          </w:p>
        </w:tc>
        <w:tc>
          <w:tcPr>
            <w:tcW w:w="1288" w:type="pct"/>
            <w:tcBorders>
              <w:top w:val="single" w:color="000000" w:sz="4" w:space="0"/>
              <w:left w:val="single" w:color="000000" w:sz="4" w:space="0"/>
              <w:bottom w:val="single" w:color="000000" w:sz="4" w:space="0"/>
              <w:right w:val="single" w:color="000000" w:sz="4" w:space="0"/>
            </w:tcBorders>
            <w:vAlign w:val="center"/>
          </w:tcPr>
          <w:p w14:paraId="013CF0EA">
            <w:pPr>
              <w:pStyle w:val="184"/>
            </w:pPr>
            <w:r>
              <w:rPr>
                <w:rFonts w:hint="eastAsia"/>
              </w:rPr>
              <w:t>2550/1880</w:t>
            </w:r>
          </w:p>
        </w:tc>
      </w:tr>
      <w:tr w14:paraId="54D81EEC">
        <w:tblPrEx>
          <w:tblCellMar>
            <w:top w:w="0" w:type="dxa"/>
            <w:left w:w="108" w:type="dxa"/>
            <w:bottom w:w="0" w:type="dxa"/>
            <w:right w:w="108" w:type="dxa"/>
          </w:tblCellMar>
        </w:tblPrEx>
        <w:trPr>
          <w:trHeight w:val="20" w:hRule="atLeast"/>
        </w:trPr>
        <w:tc>
          <w:tcPr>
            <w:tcW w:w="1380" w:type="pct"/>
            <w:tcBorders>
              <w:top w:val="single" w:color="000000" w:sz="4" w:space="0"/>
              <w:left w:val="single" w:color="000000" w:sz="4" w:space="0"/>
              <w:bottom w:val="single" w:color="000000" w:sz="4" w:space="0"/>
              <w:right w:val="single" w:color="000000" w:sz="4" w:space="0"/>
            </w:tcBorders>
            <w:vAlign w:val="center"/>
          </w:tcPr>
          <w:p w14:paraId="1AE75036">
            <w:pPr>
              <w:pStyle w:val="184"/>
              <w:rPr>
                <w:rFonts w:hint="eastAsia" w:eastAsia="宋体"/>
                <w:lang w:eastAsia="zh-CN"/>
              </w:rPr>
            </w:pPr>
            <w:r>
              <w:rPr>
                <w:rFonts w:hint="eastAsia"/>
              </w:rPr>
              <w:t>1000/</w:t>
            </w:r>
            <w:r>
              <w:rPr>
                <w:rFonts w:hint="eastAsia"/>
                <w:highlight w:val="none"/>
                <w:lang w:val="en-US" w:eastAsia="zh-CN"/>
              </w:rPr>
              <w:t>1414</w:t>
            </w:r>
          </w:p>
        </w:tc>
        <w:tc>
          <w:tcPr>
            <w:tcW w:w="552" w:type="pct"/>
            <w:tcBorders>
              <w:top w:val="single" w:color="000000" w:sz="4" w:space="0"/>
              <w:left w:val="single" w:color="000000" w:sz="4" w:space="0"/>
              <w:bottom w:val="single" w:color="000000" w:sz="4" w:space="0"/>
              <w:right w:val="single" w:color="000000" w:sz="4" w:space="0"/>
            </w:tcBorders>
            <w:vAlign w:val="center"/>
          </w:tcPr>
          <w:p w14:paraId="36FCE552">
            <w:pPr>
              <w:pStyle w:val="184"/>
            </w:pPr>
            <w:r>
              <w:rPr>
                <w:rFonts w:hint="eastAsia"/>
              </w:rPr>
              <w:t>4000</w:t>
            </w:r>
          </w:p>
        </w:tc>
        <w:tc>
          <w:tcPr>
            <w:tcW w:w="1012" w:type="dxa"/>
            <w:tcBorders>
              <w:top w:val="single" w:color="000000" w:sz="4" w:space="0"/>
              <w:left w:val="single" w:color="000000" w:sz="4" w:space="0"/>
              <w:bottom w:val="single" w:color="000000" w:sz="4" w:space="0"/>
              <w:right w:val="single" w:color="000000" w:sz="4" w:space="0"/>
            </w:tcBorders>
            <w:vAlign w:val="center"/>
          </w:tcPr>
          <w:p w14:paraId="1EF657BD">
            <w:pPr>
              <w:pStyle w:val="184"/>
            </w:pPr>
            <w:r>
              <w:rPr>
                <w:rFonts w:hint="eastAsia"/>
              </w:rPr>
              <w:t>6000</w:t>
            </w:r>
          </w:p>
        </w:tc>
        <w:tc>
          <w:tcPr>
            <w:tcW w:w="568" w:type="pct"/>
            <w:tcBorders>
              <w:top w:val="single" w:color="000000" w:sz="4" w:space="0"/>
              <w:left w:val="single" w:color="000000" w:sz="4" w:space="0"/>
              <w:bottom w:val="single" w:color="000000" w:sz="4" w:space="0"/>
              <w:right w:val="single" w:color="000000" w:sz="4" w:space="0"/>
            </w:tcBorders>
            <w:vAlign w:val="center"/>
          </w:tcPr>
          <w:p w14:paraId="6B90C0D4">
            <w:pPr>
              <w:pStyle w:val="184"/>
            </w:pPr>
            <w:r>
              <w:rPr>
                <w:rFonts w:hint="eastAsia"/>
              </w:rPr>
              <w:t>8000</w:t>
            </w:r>
          </w:p>
        </w:tc>
        <w:tc>
          <w:tcPr>
            <w:tcW w:w="648" w:type="pct"/>
            <w:tcBorders>
              <w:top w:val="single" w:color="000000" w:sz="4" w:space="0"/>
              <w:left w:val="single" w:color="000000" w:sz="4" w:space="0"/>
              <w:bottom w:val="single" w:color="000000" w:sz="4" w:space="0"/>
              <w:right w:val="single" w:color="000000" w:sz="4" w:space="0"/>
            </w:tcBorders>
            <w:vAlign w:val="center"/>
          </w:tcPr>
          <w:p w14:paraId="2B4276AF">
            <w:pPr>
              <w:pStyle w:val="184"/>
            </w:pPr>
            <w:r>
              <w:rPr>
                <w:rFonts w:hint="eastAsia"/>
              </w:rPr>
              <w:t>12000</w:t>
            </w:r>
          </w:p>
        </w:tc>
        <w:tc>
          <w:tcPr>
            <w:tcW w:w="1288" w:type="pct"/>
            <w:tcBorders>
              <w:top w:val="single" w:color="000000" w:sz="4" w:space="0"/>
              <w:left w:val="single" w:color="000000" w:sz="4" w:space="0"/>
              <w:bottom w:val="single" w:color="000000" w:sz="4" w:space="0"/>
              <w:right w:val="single" w:color="000000" w:sz="4" w:space="0"/>
            </w:tcBorders>
            <w:vAlign w:val="center"/>
          </w:tcPr>
          <w:p w14:paraId="2FCFE02E">
            <w:pPr>
              <w:pStyle w:val="184"/>
            </w:pPr>
            <w:r>
              <w:rPr>
                <w:rFonts w:hint="eastAsia"/>
              </w:rPr>
              <w:t>3110/2200</w:t>
            </w:r>
          </w:p>
        </w:tc>
      </w:tr>
      <w:tr w14:paraId="1E27905F">
        <w:tblPrEx>
          <w:tblCellMar>
            <w:top w:w="0" w:type="dxa"/>
            <w:left w:w="108" w:type="dxa"/>
            <w:bottom w:w="0" w:type="dxa"/>
            <w:right w:w="108" w:type="dxa"/>
          </w:tblCellMar>
        </w:tblPrEx>
        <w:trPr>
          <w:trHeight w:val="2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02273841">
            <w:pPr>
              <w:pStyle w:val="185"/>
            </w:pPr>
            <w:r>
              <w:rPr>
                <w:rFonts w:hint="eastAsia"/>
              </w:rPr>
              <w:t>直接与电网连接的电路不准许插值，其他回路可以。</w:t>
            </w:r>
          </w:p>
          <w:p w14:paraId="35A5B409">
            <w:pPr>
              <w:pStyle w:val="185"/>
            </w:pPr>
            <w:r>
              <w:rPr>
                <w:rFonts w:hint="eastAsia"/>
              </w:rPr>
              <w:t>最后一行只适用于单相系统,或三相系统中的线电压。</w:t>
            </w:r>
          </w:p>
          <w:p w14:paraId="30F88D5F">
            <w:pPr>
              <w:pStyle w:val="185"/>
            </w:pPr>
            <w:r>
              <w:rPr>
                <w:rFonts w:hint="eastAsia"/>
              </w:rPr>
              <w:t>暂时过电压只适用于直接与电网连接的电路。</w:t>
            </w:r>
          </w:p>
          <w:p w14:paraId="4A5446A9">
            <w:pPr>
              <w:pStyle w:val="185"/>
            </w:pPr>
            <w:r>
              <w:rPr>
                <w:rFonts w:hint="eastAsia"/>
              </w:rPr>
              <w:t>与电网隔离的电路视为过电压等级Ⅱ，最小脉冲电乐取2500V，系统电压取最大额定光伏开路电压。</w:t>
            </w:r>
          </w:p>
        </w:tc>
      </w:tr>
    </w:tbl>
    <w:p w14:paraId="6EDA5138">
      <w:pPr>
        <w:pStyle w:val="111"/>
        <w:spacing w:before="120" w:after="120"/>
      </w:pPr>
      <w:bookmarkStart w:id="122" w:name="_Toc11979"/>
      <w:r>
        <w:rPr>
          <w:rFonts w:hint="eastAsia"/>
        </w:rPr>
        <w:t>电压耐受能力</w:t>
      </w:r>
      <w:bookmarkEnd w:id="120"/>
      <w:bookmarkEnd w:id="121"/>
      <w:bookmarkEnd w:id="122"/>
    </w:p>
    <w:p w14:paraId="486AC0D6">
      <w:pPr>
        <w:pStyle w:val="64"/>
      </w:pPr>
      <w:r>
        <w:rPr>
          <w:rFonts w:hint="eastAsia"/>
        </w:rPr>
        <w:t>成套设备应能承受正常运行电压以及7.5规定的各种过电压。</w:t>
      </w:r>
    </w:p>
    <w:p w14:paraId="4274B65F">
      <w:pPr>
        <w:pStyle w:val="111"/>
        <w:spacing w:before="120" w:after="120"/>
      </w:pPr>
      <w:bookmarkStart w:id="123" w:name="_Toc214620393"/>
      <w:bookmarkStart w:id="124" w:name="_Toc22754"/>
      <w:bookmarkStart w:id="125" w:name="_Toc23901"/>
      <w:r>
        <w:rPr>
          <w:rFonts w:hint="eastAsia"/>
        </w:rPr>
        <w:t>保护功能</w:t>
      </w:r>
      <w:bookmarkEnd w:id="123"/>
      <w:bookmarkEnd w:id="124"/>
      <w:bookmarkEnd w:id="125"/>
    </w:p>
    <w:p w14:paraId="1285322E">
      <w:pPr>
        <w:pStyle w:val="64"/>
        <w:rPr>
          <w:b w:val="0"/>
          <w:bCs w:val="0"/>
          <w:color w:val="auto"/>
          <w:highlight w:val="none"/>
        </w:rPr>
      </w:pPr>
      <w:r>
        <w:rPr>
          <w:rFonts w:hint="eastAsia"/>
          <w:b w:val="0"/>
          <w:bCs w:val="0"/>
          <w:color w:val="auto"/>
          <w:highlight w:val="none"/>
        </w:rPr>
        <w:t>成套设备应具备桥臂过流保护、直流过压保护、交流端口短路保护、系统过温保护、和通讯断线故障</w:t>
      </w:r>
      <w:r>
        <w:rPr>
          <w:rFonts w:hint="eastAsia"/>
          <w:b w:val="0"/>
          <w:bCs w:val="0"/>
          <w:color w:val="auto"/>
          <w:highlight w:val="none"/>
          <w:lang w:eastAsia="zh-CN"/>
        </w:rPr>
        <w:t>、</w:t>
      </w:r>
      <w:r>
        <w:rPr>
          <w:rStyle w:val="32"/>
          <w:rFonts w:ascii="宋体" w:hAnsi="宋体" w:eastAsia="宋体" w:cs="宋体"/>
          <w:b w:val="0"/>
          <w:bCs w:val="0"/>
          <w:color w:val="auto"/>
          <w:kern w:val="0"/>
          <w:sz w:val="21"/>
          <w:szCs w:val="21"/>
          <w:highlight w:val="none"/>
          <w:lang w:val="en-US" w:eastAsia="zh-CN" w:bidi="ar"/>
        </w:rPr>
        <w:t>光伏侧反接保护、雷击浪涌保护、模块故障保护、过载保护</w:t>
      </w:r>
      <w:r>
        <w:rPr>
          <w:rFonts w:hint="eastAsia"/>
          <w:b w:val="0"/>
          <w:bCs w:val="0"/>
          <w:color w:val="auto"/>
          <w:highlight w:val="none"/>
        </w:rPr>
        <w:t>等保护功能。故障清除后的恢复方式为自动恢复或人工恢复，需根据相关要求进行明确。</w:t>
      </w:r>
    </w:p>
    <w:p w14:paraId="1AE2D61F">
      <w:pPr>
        <w:pStyle w:val="111"/>
        <w:spacing w:before="120" w:after="120"/>
      </w:pPr>
      <w:bookmarkStart w:id="126" w:name="_Toc13369"/>
      <w:bookmarkStart w:id="127" w:name="_Toc7860"/>
      <w:bookmarkStart w:id="128" w:name="_Toc214620394"/>
      <w:r>
        <w:rPr>
          <w:rFonts w:hint="eastAsia"/>
        </w:rPr>
        <w:t>无线电干扰</w:t>
      </w:r>
      <w:bookmarkEnd w:id="126"/>
      <w:bookmarkEnd w:id="127"/>
      <w:bookmarkEnd w:id="128"/>
    </w:p>
    <w:p w14:paraId="0B3D1AB6">
      <w:pPr>
        <w:pStyle w:val="64"/>
      </w:pPr>
      <w:r>
        <w:rPr>
          <w:rFonts w:hint="eastAsia"/>
        </w:rPr>
        <w:t>在1.1倍最高相电压时的无线电干扰电压应不大于500</w:t>
      </w:r>
      <w:r>
        <w:rPr>
          <w:rFonts w:ascii="Times New Roman"/>
        </w:rPr>
        <w:t xml:space="preserve"> </w:t>
      </w:r>
      <w:r>
        <w:rPr>
          <w:rFonts w:hint="eastAsia"/>
        </w:rPr>
        <w:t>μV，并在无光条件下无可见电晕。</w:t>
      </w:r>
    </w:p>
    <w:p w14:paraId="42367B7A">
      <w:pPr>
        <w:pStyle w:val="111"/>
        <w:spacing w:before="120" w:after="120"/>
      </w:pPr>
      <w:bookmarkStart w:id="129" w:name="_Toc18462"/>
      <w:bookmarkStart w:id="130" w:name="_Toc214620395"/>
      <w:bookmarkStart w:id="131" w:name="_Toc30607"/>
      <w:r>
        <w:rPr>
          <w:rFonts w:hint="eastAsia"/>
        </w:rPr>
        <w:t>噪声水平</w:t>
      </w:r>
      <w:bookmarkEnd w:id="129"/>
      <w:bookmarkEnd w:id="130"/>
      <w:bookmarkEnd w:id="131"/>
    </w:p>
    <w:p w14:paraId="1007FFC9">
      <w:pPr>
        <w:pStyle w:val="64"/>
        <w:rPr>
          <w:rStyle w:val="32"/>
          <w:rFonts w:ascii="宋体" w:hAnsi="宋体" w:eastAsia="宋体" w:cs="宋体"/>
          <w:b w:val="0"/>
          <w:bCs w:val="0"/>
          <w:color w:val="auto"/>
          <w:kern w:val="0"/>
          <w:sz w:val="21"/>
          <w:szCs w:val="21"/>
          <w:highlight w:val="none"/>
          <w:lang w:val="en-US" w:eastAsia="zh-CN" w:bidi="ar"/>
        </w:rPr>
      </w:pPr>
      <w:r>
        <w:rPr>
          <w:rStyle w:val="32"/>
          <w:rFonts w:ascii="宋体" w:hAnsi="宋体" w:eastAsia="宋体" w:cs="宋体"/>
          <w:b w:val="0"/>
          <w:bCs w:val="0"/>
          <w:color w:val="auto"/>
          <w:kern w:val="0"/>
          <w:sz w:val="21"/>
          <w:szCs w:val="21"/>
          <w:highlight w:val="none"/>
          <w:lang w:val="en-US" w:eastAsia="zh-CN" w:bidi="ar"/>
        </w:rPr>
        <w:t>成套设备及冷却系统额定负载时，平均A计权声压级应不大于75dB (A)，不同容量等级噪声要求如下：</w:t>
      </w:r>
    </w:p>
    <w:p w14:paraId="04B7FE12">
      <w:pPr>
        <w:pStyle w:val="180"/>
        <w:numPr>
          <w:ilvl w:val="0"/>
          <w:numId w:val="50"/>
        </w:numPr>
        <w:rPr>
          <w:rFonts w:hint="eastAsia"/>
          <w:b w:val="0"/>
          <w:bCs w:val="0"/>
          <w:color w:val="auto"/>
          <w:highlight w:val="none"/>
          <w:lang w:val="en-US" w:eastAsia="zh-CN"/>
        </w:rPr>
      </w:pPr>
      <w:r>
        <w:rPr>
          <w:rFonts w:hint="eastAsia"/>
          <w:b w:val="0"/>
          <w:bCs w:val="0"/>
          <w:color w:val="auto"/>
          <w:highlight w:val="none"/>
          <w:lang w:val="en-US" w:eastAsia="zh-CN"/>
        </w:rPr>
        <w:t>容量≤100kVA：≤65dB (A)；</w:t>
      </w:r>
    </w:p>
    <w:p w14:paraId="3F72F593">
      <w:pPr>
        <w:pStyle w:val="180"/>
        <w:numPr>
          <w:ilvl w:val="0"/>
          <w:numId w:val="50"/>
        </w:numPr>
        <w:rPr>
          <w:rFonts w:hint="eastAsia"/>
          <w:b w:val="0"/>
          <w:bCs w:val="0"/>
          <w:color w:val="auto"/>
          <w:highlight w:val="none"/>
          <w:lang w:val="en-US" w:eastAsia="zh-CN"/>
        </w:rPr>
      </w:pPr>
      <w:r>
        <w:rPr>
          <w:rFonts w:hint="eastAsia"/>
          <w:b w:val="0"/>
          <w:bCs w:val="0"/>
          <w:color w:val="auto"/>
          <w:highlight w:val="none"/>
          <w:lang w:val="en-US" w:eastAsia="zh-CN"/>
        </w:rPr>
        <w:t>100kVA＜容量≤1000kVA：≤70dB (A)；</w:t>
      </w:r>
    </w:p>
    <w:p w14:paraId="0D07977B">
      <w:pPr>
        <w:pStyle w:val="180"/>
        <w:numPr>
          <w:ilvl w:val="0"/>
          <w:numId w:val="50"/>
        </w:numPr>
        <w:rPr>
          <w:rFonts w:hint="eastAsia"/>
          <w:b w:val="0"/>
          <w:bCs w:val="0"/>
          <w:color w:val="auto"/>
          <w:highlight w:val="none"/>
          <w:lang w:val="en-US" w:eastAsia="zh-CN"/>
        </w:rPr>
      </w:pPr>
      <w:r>
        <w:rPr>
          <w:rFonts w:hint="eastAsia"/>
          <w:b w:val="0"/>
          <w:bCs w:val="0"/>
          <w:color w:val="auto"/>
          <w:highlight w:val="none"/>
          <w:lang w:val="en-US" w:eastAsia="zh-CN"/>
        </w:rPr>
        <w:t>容量＞1000kVA：≤75dB (A)。</w:t>
      </w:r>
    </w:p>
    <w:p w14:paraId="429DE204">
      <w:pPr>
        <w:pStyle w:val="180"/>
        <w:numPr>
          <w:ilvl w:val="0"/>
          <w:numId w:val="50"/>
        </w:numPr>
        <w:rPr>
          <w:rFonts w:hint="eastAsia"/>
          <w:b w:val="0"/>
          <w:bCs w:val="0"/>
          <w:color w:val="auto"/>
          <w:highlight w:val="none"/>
        </w:rPr>
      </w:pPr>
      <w:r>
        <w:rPr>
          <w:rFonts w:hint="eastAsia"/>
          <w:b w:val="0"/>
          <w:bCs w:val="0"/>
          <w:color w:val="auto"/>
          <w:highlight w:val="none"/>
          <w:lang w:val="en-US" w:eastAsia="zh-CN"/>
        </w:rPr>
        <w:t>噪声测试方法：依据 GB/T 1094.10，在设备周围1m处均匀布置4个测试点，取算术平均值。</w:t>
      </w:r>
    </w:p>
    <w:p w14:paraId="10B5F00B">
      <w:pPr>
        <w:pStyle w:val="185"/>
        <w:rPr>
          <w:b w:val="0"/>
          <w:bCs w:val="0"/>
          <w:color w:val="auto"/>
          <w:highlight w:val="none"/>
        </w:rPr>
      </w:pPr>
      <w:r>
        <w:rPr>
          <w:rFonts w:hint="eastAsia"/>
          <w:b w:val="0"/>
          <w:bCs w:val="0"/>
          <w:color w:val="auto"/>
          <w:highlight w:val="none"/>
        </w:rPr>
        <w:t>其他特殊要求可由用户与设备供应商协商确定。声压级大于75dB</w:t>
      </w:r>
      <w:r>
        <w:rPr>
          <w:rFonts w:hint="eastAsia"/>
          <w:b w:val="0"/>
          <w:bCs w:val="0"/>
          <w:color w:val="auto"/>
          <w:highlight w:val="none"/>
          <w:lang w:val="en-US" w:eastAsia="zh-CN"/>
        </w:rPr>
        <w:t>的应在设备外部张贴防噪音图标。</w:t>
      </w:r>
    </w:p>
    <w:p w14:paraId="2EC6808F">
      <w:pPr>
        <w:pStyle w:val="111"/>
        <w:spacing w:before="120" w:after="120"/>
      </w:pPr>
      <w:bookmarkStart w:id="132" w:name="_Toc21878"/>
      <w:bookmarkStart w:id="133" w:name="_Toc214620396"/>
      <w:bookmarkStart w:id="134" w:name="_Toc17013"/>
      <w:r>
        <w:rPr>
          <w:rFonts w:hint="eastAsia"/>
        </w:rPr>
        <w:t>防火能力</w:t>
      </w:r>
      <w:bookmarkEnd w:id="132"/>
      <w:bookmarkEnd w:id="133"/>
      <w:bookmarkEnd w:id="134"/>
    </w:p>
    <w:p w14:paraId="103EA806">
      <w:pPr>
        <w:pStyle w:val="171"/>
        <w:ind w:left="0" w:leftChars="0" w:firstLineChars="0"/>
        <w:rPr>
          <w:highlight w:val="none"/>
        </w:rPr>
      </w:pPr>
      <w:r>
        <w:rPr>
          <w:rFonts w:hint="eastAsia"/>
          <w:highlight w:val="none"/>
          <w:lang w:val="en-US" w:eastAsia="zh-CN"/>
        </w:rPr>
        <w:t>电压不大于35kV时可采用干式变压器，</w:t>
      </w:r>
      <w:r>
        <w:rPr>
          <w:rFonts w:hint="eastAsia"/>
          <w:highlight w:val="none"/>
        </w:rPr>
        <w:t>设备内部宜采用无油化设计。</w:t>
      </w:r>
    </w:p>
    <w:p w14:paraId="4EC098E3">
      <w:pPr>
        <w:pStyle w:val="171"/>
        <w:ind w:left="0" w:leftChars="0" w:firstLineChars="0"/>
        <w:rPr>
          <w:highlight w:val="none"/>
        </w:rPr>
      </w:pPr>
      <w:r>
        <w:rPr>
          <w:rFonts w:hint="eastAsia"/>
          <w:highlight w:val="none"/>
        </w:rPr>
        <w:t>应使用安全可靠、难燃的材料，所有塑料部件中应添加阻燃剂。</w:t>
      </w:r>
    </w:p>
    <w:p w14:paraId="4DB62AD5">
      <w:pPr>
        <w:pStyle w:val="171"/>
        <w:ind w:left="0" w:leftChars="0" w:firstLineChars="0"/>
      </w:pPr>
      <w:r>
        <w:rPr>
          <w:rFonts w:hint="eastAsia"/>
          <w:highlight w:val="none"/>
        </w:rPr>
        <w:t>相邻塑料部件之间和光纤通道节间宜设置防火隔板，同时</w:t>
      </w:r>
      <w:r>
        <w:rPr>
          <w:rFonts w:hint="eastAsia"/>
        </w:rPr>
        <w:t>应考虑防火隔板对散热的影响。</w:t>
      </w:r>
    </w:p>
    <w:p w14:paraId="60961C92">
      <w:pPr>
        <w:pStyle w:val="111"/>
        <w:spacing w:before="120" w:after="120"/>
      </w:pPr>
      <w:bookmarkStart w:id="135" w:name="_Toc29457"/>
      <w:bookmarkStart w:id="136" w:name="_Toc3084"/>
      <w:bookmarkStart w:id="137" w:name="_Toc214620397"/>
      <w:r>
        <w:rPr>
          <w:rFonts w:hint="eastAsia"/>
        </w:rPr>
        <w:t>水冷系统</w:t>
      </w:r>
      <w:bookmarkEnd w:id="135"/>
      <w:bookmarkEnd w:id="136"/>
      <w:bookmarkEnd w:id="137"/>
    </w:p>
    <w:p w14:paraId="79D2FC28">
      <w:pPr>
        <w:pStyle w:val="64"/>
      </w:pPr>
      <w:r>
        <w:rPr>
          <w:rFonts w:hint="eastAsia"/>
        </w:rPr>
        <w:t>水冷系统应参照GB/T 29629相关设计要求，应具备在各种运行条件下的冷却能力</w:t>
      </w:r>
    </w:p>
    <w:p w14:paraId="2E2072AF">
      <w:pPr>
        <w:pStyle w:val="111"/>
        <w:spacing w:before="120" w:after="120"/>
      </w:pPr>
      <w:bookmarkStart w:id="138" w:name="_Toc6742"/>
      <w:bookmarkStart w:id="139" w:name="_Toc214620398"/>
      <w:bookmarkStart w:id="140" w:name="_Toc32070"/>
      <w:r>
        <w:rPr>
          <w:rFonts w:hint="eastAsia"/>
        </w:rPr>
        <w:t>风冷系统</w:t>
      </w:r>
      <w:bookmarkEnd w:id="138"/>
      <w:bookmarkEnd w:id="139"/>
      <w:bookmarkEnd w:id="140"/>
    </w:p>
    <w:p w14:paraId="2DDC69A2">
      <w:pPr>
        <w:pStyle w:val="171"/>
        <w:ind w:left="0" w:leftChars="0" w:firstLineChars="0"/>
      </w:pPr>
      <w:r>
        <w:rPr>
          <w:rFonts w:hint="eastAsia"/>
        </w:rPr>
        <w:t>风冷系统应使用成熟的工程方法，应具备在各种运行条件下的冷却能力。</w:t>
      </w:r>
    </w:p>
    <w:p w14:paraId="7BCD3F51">
      <w:pPr>
        <w:pStyle w:val="171"/>
        <w:ind w:left="0" w:leftChars="0" w:firstLineChars="0"/>
      </w:pPr>
      <w:r>
        <w:rPr>
          <w:rFonts w:hint="eastAsia"/>
        </w:rPr>
        <w:t>风机故障时应具备报警功能。</w:t>
      </w:r>
    </w:p>
    <w:p w14:paraId="0C0313F8">
      <w:pPr>
        <w:pStyle w:val="171"/>
        <w:ind w:left="0" w:leftChars="0" w:firstLineChars="0"/>
      </w:pPr>
      <w:r>
        <w:rPr>
          <w:rFonts w:hint="eastAsia"/>
        </w:rPr>
        <w:t>运行时噪音符合要求。</w:t>
      </w:r>
    </w:p>
    <w:p w14:paraId="6D21C936">
      <w:pPr>
        <w:pStyle w:val="171"/>
        <w:ind w:left="0" w:leftChars="0" w:firstLineChars="0"/>
      </w:pPr>
      <w:r>
        <w:rPr>
          <w:rFonts w:hint="eastAsia"/>
        </w:rPr>
        <w:t>应具备防止杂物吸入风道的措施。</w:t>
      </w:r>
    </w:p>
    <w:p w14:paraId="44311EB1">
      <w:pPr>
        <w:pStyle w:val="171"/>
        <w:ind w:left="0" w:leftChars="0" w:firstLineChars="0"/>
      </w:pPr>
      <w:r>
        <w:rPr>
          <w:rFonts w:hint="eastAsia"/>
        </w:rPr>
        <w:t>风机部分应具备安全措施，防止造成人身伤害。</w:t>
      </w:r>
    </w:p>
    <w:p w14:paraId="7E098B55">
      <w:pPr>
        <w:pStyle w:val="111"/>
        <w:spacing w:before="120" w:after="120"/>
        <w:rPr>
          <w:rFonts w:hint="eastAsia"/>
          <w:highlight w:val="none"/>
        </w:rPr>
      </w:pPr>
      <w:bookmarkStart w:id="141" w:name="_Toc22970"/>
      <w:r>
        <w:rPr>
          <w:rFonts w:hint="eastAsia"/>
          <w:highlight w:val="none"/>
        </w:rPr>
        <w:t>电磁兼容</w:t>
      </w:r>
      <w:r>
        <w:rPr>
          <w:rFonts w:hint="eastAsia"/>
          <w:highlight w:val="none"/>
          <w:lang w:eastAsia="zh-CN"/>
        </w:rPr>
        <w:t>（</w:t>
      </w:r>
      <w:r>
        <w:rPr>
          <w:rFonts w:hint="eastAsia"/>
          <w:highlight w:val="none"/>
          <w:lang w:val="en-US" w:eastAsia="zh-CN"/>
        </w:rPr>
        <w:t>请西电确认</w:t>
      </w:r>
      <w:r>
        <w:rPr>
          <w:rFonts w:hint="eastAsia"/>
          <w:highlight w:val="none"/>
          <w:lang w:eastAsia="zh-CN"/>
        </w:rPr>
        <w:t>）</w:t>
      </w:r>
      <w:bookmarkEnd w:id="141"/>
    </w:p>
    <w:p w14:paraId="6AC7A1DE">
      <w:pPr>
        <w:pStyle w:val="171"/>
        <w:ind w:left="0" w:leftChars="0" w:firstLineChars="0"/>
        <w:rPr>
          <w:rFonts w:hint="eastAsia"/>
          <w:highlight w:val="none"/>
        </w:rPr>
      </w:pPr>
      <w:r>
        <w:rPr>
          <w:rFonts w:hint="eastAsia"/>
          <w:highlight w:val="none"/>
          <w:lang w:val="en-US" w:eastAsia="zh-CN"/>
        </w:rPr>
        <w:t>整机或其控保系统</w:t>
      </w:r>
      <w:r>
        <w:rPr>
          <w:rFonts w:hint="eastAsia"/>
          <w:highlight w:val="none"/>
        </w:rPr>
        <w:t>电磁骚扰限值应满足下列要求</w:t>
      </w:r>
      <w:r>
        <w:rPr>
          <w:rFonts w:hint="eastAsia"/>
          <w:highlight w:val="none"/>
          <w:lang w:eastAsia="zh-CN"/>
        </w:rPr>
        <w:t>：</w:t>
      </w:r>
    </w:p>
    <w:p w14:paraId="66FC3E99">
      <w:pPr>
        <w:pStyle w:val="180"/>
        <w:numPr>
          <w:ilvl w:val="0"/>
          <w:numId w:val="51"/>
        </w:numPr>
        <w:rPr>
          <w:rFonts w:hint="eastAsia"/>
          <w:highlight w:val="none"/>
          <w:lang w:val="en-US" w:eastAsia="zh-CN"/>
        </w:rPr>
      </w:pPr>
      <w:r>
        <w:rPr>
          <w:rFonts w:hint="eastAsia"/>
          <w:highlight w:val="none"/>
          <w:lang w:val="en-US" w:eastAsia="zh-CN"/>
        </w:rPr>
        <w:t>传导骚扰电压限值符合表8的要求；</w:t>
      </w:r>
    </w:p>
    <w:p w14:paraId="7BCE9C58">
      <w:pPr>
        <w:pStyle w:val="180"/>
        <w:numPr>
          <w:ilvl w:val="0"/>
          <w:numId w:val="51"/>
        </w:numPr>
        <w:rPr>
          <w:rFonts w:hint="eastAsia"/>
          <w:highlight w:val="none"/>
          <w:lang w:val="en-US" w:eastAsia="zh-CN"/>
        </w:rPr>
      </w:pPr>
      <w:r>
        <w:rPr>
          <w:rFonts w:hint="eastAsia"/>
          <w:highlight w:val="none"/>
          <w:lang w:val="en-US" w:eastAsia="zh-CN"/>
        </w:rPr>
        <w:t>辐射骚扰限值符合表9的要求。</w:t>
      </w:r>
    </w:p>
    <w:p w14:paraId="0C785173">
      <w:pPr>
        <w:pStyle w:val="118"/>
        <w:rPr>
          <w:rFonts w:hint="default"/>
          <w:highlight w:val="none"/>
          <w:lang w:val="en-US" w:eastAsia="zh-CN"/>
        </w:rPr>
      </w:pPr>
      <w:r>
        <w:rPr>
          <w:rFonts w:hint="default"/>
          <w:highlight w:val="none"/>
          <w:lang w:val="en-US" w:eastAsia="zh-CN"/>
        </w:rPr>
        <w:t>传导骚扰电压限值</w:t>
      </w:r>
    </w:p>
    <w:tbl>
      <w:tblPr>
        <w:tblStyle w:val="29"/>
        <w:tblW w:w="4994" w:type="pct"/>
        <w:jc w:val="center"/>
        <w:tblLayout w:type="autofit"/>
        <w:tblCellMar>
          <w:top w:w="0" w:type="dxa"/>
          <w:left w:w="108" w:type="dxa"/>
          <w:bottom w:w="0" w:type="dxa"/>
          <w:right w:w="108" w:type="dxa"/>
        </w:tblCellMar>
      </w:tblPr>
      <w:tblGrid>
        <w:gridCol w:w="1987"/>
        <w:gridCol w:w="4052"/>
        <w:gridCol w:w="3521"/>
      </w:tblGrid>
      <w:tr w14:paraId="7E08C551">
        <w:tblPrEx>
          <w:tblCellMar>
            <w:top w:w="0" w:type="dxa"/>
            <w:left w:w="108" w:type="dxa"/>
            <w:bottom w:w="0" w:type="dxa"/>
            <w:right w:w="108" w:type="dxa"/>
          </w:tblCellMar>
        </w:tblPrEx>
        <w:trPr>
          <w:trHeight w:val="237" w:hRule="atLeast"/>
          <w:jc w:val="center"/>
        </w:trPr>
        <w:tc>
          <w:tcPr>
            <w:tcW w:w="1039" w:type="pct"/>
            <w:vMerge w:val="restart"/>
            <w:tcBorders>
              <w:top w:val="single" w:color="000000" w:sz="4" w:space="0"/>
              <w:left w:val="single" w:color="000000" w:sz="4" w:space="0"/>
              <w:bottom w:val="single" w:color="000000" w:sz="4" w:space="0"/>
              <w:right w:val="single" w:color="000000" w:sz="4" w:space="0"/>
            </w:tcBorders>
            <w:vAlign w:val="center"/>
          </w:tcPr>
          <w:p w14:paraId="0FA05505">
            <w:pPr>
              <w:pStyle w:val="184"/>
              <w:rPr>
                <w:rFonts w:hint="default"/>
                <w:highlight w:val="none"/>
                <w:lang w:val="en-US"/>
              </w:rPr>
            </w:pPr>
            <w:r>
              <w:rPr>
                <w:rFonts w:hint="eastAsia"/>
                <w:highlight w:val="none"/>
                <w:lang w:val="en-US" w:eastAsia="zh-CN"/>
              </w:rPr>
              <w:t>频率范围/MHz</w:t>
            </w:r>
          </w:p>
        </w:tc>
        <w:tc>
          <w:tcPr>
            <w:tcW w:w="3960" w:type="pct"/>
            <w:gridSpan w:val="2"/>
            <w:tcBorders>
              <w:top w:val="single" w:color="000000" w:sz="4" w:space="0"/>
              <w:left w:val="single" w:color="000000" w:sz="4" w:space="0"/>
              <w:bottom w:val="single" w:color="000000" w:sz="4" w:space="0"/>
              <w:right w:val="single" w:color="000000" w:sz="4" w:space="0"/>
            </w:tcBorders>
            <w:vAlign w:val="center"/>
          </w:tcPr>
          <w:p w14:paraId="54B2C21E">
            <w:pPr>
              <w:pStyle w:val="184"/>
              <w:rPr>
                <w:rFonts w:hint="eastAsia"/>
                <w:highlight w:val="none"/>
                <w:lang w:val="en-US" w:eastAsia="zh-CN"/>
              </w:rPr>
            </w:pPr>
            <w:r>
              <w:rPr>
                <w:rFonts w:hint="eastAsia"/>
                <w:highlight w:val="none"/>
                <w:lang w:val="en-US" w:eastAsia="zh-CN"/>
              </w:rPr>
              <w:t>额定功率≤20 kVA</w:t>
            </w:r>
          </w:p>
        </w:tc>
      </w:tr>
      <w:tr w14:paraId="12032243">
        <w:tblPrEx>
          <w:tblCellMar>
            <w:top w:w="0" w:type="dxa"/>
            <w:left w:w="108" w:type="dxa"/>
            <w:bottom w:w="0" w:type="dxa"/>
            <w:right w:w="108" w:type="dxa"/>
          </w:tblCellMar>
        </w:tblPrEx>
        <w:trPr>
          <w:trHeight w:val="246" w:hRule="atLeast"/>
          <w:jc w:val="center"/>
        </w:trPr>
        <w:tc>
          <w:tcPr>
            <w:tcW w:w="1039" w:type="pct"/>
            <w:vMerge w:val="continue"/>
            <w:tcBorders>
              <w:top w:val="single" w:color="000000" w:sz="4" w:space="0"/>
              <w:left w:val="single" w:color="000000" w:sz="4" w:space="0"/>
              <w:bottom w:val="single" w:color="000000" w:sz="4" w:space="0"/>
              <w:right w:val="single" w:color="000000" w:sz="4" w:space="0"/>
            </w:tcBorders>
            <w:vAlign w:val="center"/>
          </w:tcPr>
          <w:p w14:paraId="271C0C79">
            <w:pPr>
              <w:pStyle w:val="184"/>
              <w:rPr>
                <w:highlight w:val="none"/>
              </w:rPr>
            </w:pPr>
          </w:p>
        </w:tc>
        <w:tc>
          <w:tcPr>
            <w:tcW w:w="2119" w:type="pct"/>
            <w:tcBorders>
              <w:top w:val="single" w:color="000000" w:sz="4" w:space="0"/>
              <w:left w:val="single" w:color="000000" w:sz="4" w:space="0"/>
              <w:bottom w:val="single" w:color="000000" w:sz="4" w:space="0"/>
              <w:right w:val="single" w:color="000000" w:sz="4" w:space="0"/>
            </w:tcBorders>
            <w:vAlign w:val="center"/>
          </w:tcPr>
          <w:p w14:paraId="20F9B6D6">
            <w:pPr>
              <w:pStyle w:val="184"/>
              <w:rPr>
                <w:rFonts w:hint="default" w:eastAsia="宋体"/>
                <w:highlight w:val="none"/>
                <w:lang w:val="en-US" w:eastAsia="zh-CN"/>
              </w:rPr>
            </w:pPr>
            <w:r>
              <w:rPr>
                <w:rFonts w:hint="eastAsia"/>
                <w:highlight w:val="none"/>
                <w:lang w:val="en-US" w:eastAsia="zh-CN"/>
              </w:rPr>
              <w:t>准峰值/dB（μV）</w:t>
            </w:r>
          </w:p>
        </w:tc>
        <w:tc>
          <w:tcPr>
            <w:tcW w:w="1841" w:type="pct"/>
            <w:tcBorders>
              <w:top w:val="single" w:color="000000" w:sz="4" w:space="0"/>
              <w:left w:val="single" w:color="000000" w:sz="4" w:space="0"/>
              <w:bottom w:val="single" w:color="000000" w:sz="4" w:space="0"/>
              <w:right w:val="single" w:color="000000" w:sz="4" w:space="0"/>
            </w:tcBorders>
            <w:vAlign w:val="center"/>
          </w:tcPr>
          <w:p w14:paraId="06FA205D">
            <w:pPr>
              <w:pStyle w:val="184"/>
              <w:rPr>
                <w:rFonts w:hint="eastAsia" w:eastAsia="宋体"/>
                <w:highlight w:val="none"/>
                <w:lang w:val="en-US" w:eastAsia="zh-CN"/>
              </w:rPr>
            </w:pPr>
            <w:r>
              <w:rPr>
                <w:rFonts w:hint="eastAsia"/>
                <w:highlight w:val="none"/>
                <w:lang w:val="en-US" w:eastAsia="zh-CN"/>
              </w:rPr>
              <w:t>平均值/dB（μV）</w:t>
            </w:r>
          </w:p>
        </w:tc>
      </w:tr>
      <w:tr w14:paraId="623B3690">
        <w:tblPrEx>
          <w:tblCellMar>
            <w:top w:w="0" w:type="dxa"/>
            <w:left w:w="108" w:type="dxa"/>
            <w:bottom w:w="0" w:type="dxa"/>
            <w:right w:w="108" w:type="dxa"/>
          </w:tblCellMar>
        </w:tblPrEx>
        <w:trPr>
          <w:trHeight w:val="246" w:hRule="atLeast"/>
          <w:jc w:val="center"/>
        </w:trPr>
        <w:tc>
          <w:tcPr>
            <w:tcW w:w="1039" w:type="pct"/>
            <w:tcBorders>
              <w:top w:val="single" w:color="000000" w:sz="4" w:space="0"/>
              <w:left w:val="single" w:color="000000" w:sz="4" w:space="0"/>
              <w:bottom w:val="single" w:color="000000" w:sz="4" w:space="0"/>
              <w:right w:val="single" w:color="000000" w:sz="4" w:space="0"/>
            </w:tcBorders>
            <w:vAlign w:val="center"/>
          </w:tcPr>
          <w:p w14:paraId="556D78D1">
            <w:pPr>
              <w:pStyle w:val="184"/>
              <w:rPr>
                <w:rFonts w:hint="default" w:eastAsia="宋体"/>
                <w:highlight w:val="none"/>
                <w:lang w:val="en-US" w:eastAsia="zh-CN"/>
              </w:rPr>
            </w:pPr>
            <w:r>
              <w:rPr>
                <w:rFonts w:hint="eastAsia"/>
                <w:highlight w:val="none"/>
                <w:lang w:val="en-US" w:eastAsia="zh-CN"/>
              </w:rPr>
              <w:t>0.15～0.5</w:t>
            </w:r>
          </w:p>
        </w:tc>
        <w:tc>
          <w:tcPr>
            <w:tcW w:w="2119" w:type="pct"/>
            <w:tcBorders>
              <w:top w:val="single" w:color="000000" w:sz="4" w:space="0"/>
              <w:left w:val="single" w:color="000000" w:sz="4" w:space="0"/>
              <w:bottom w:val="single" w:color="000000" w:sz="4" w:space="0"/>
              <w:right w:val="single" w:color="000000" w:sz="4" w:space="0"/>
            </w:tcBorders>
            <w:vAlign w:val="center"/>
          </w:tcPr>
          <w:p w14:paraId="488F97CB">
            <w:pPr>
              <w:pStyle w:val="184"/>
              <w:rPr>
                <w:rFonts w:hint="default"/>
                <w:highlight w:val="none"/>
                <w:lang w:val="en-US" w:eastAsia="zh-CN"/>
              </w:rPr>
            </w:pPr>
            <w:r>
              <w:rPr>
                <w:rFonts w:hint="eastAsia"/>
                <w:highlight w:val="none"/>
                <w:lang w:val="en-US" w:eastAsia="zh-CN"/>
              </w:rPr>
              <w:t>79</w:t>
            </w:r>
          </w:p>
        </w:tc>
        <w:tc>
          <w:tcPr>
            <w:tcW w:w="1841" w:type="pct"/>
            <w:tcBorders>
              <w:top w:val="single" w:color="000000" w:sz="4" w:space="0"/>
              <w:left w:val="single" w:color="000000" w:sz="4" w:space="0"/>
              <w:bottom w:val="single" w:color="000000" w:sz="4" w:space="0"/>
              <w:right w:val="single" w:color="000000" w:sz="4" w:space="0"/>
            </w:tcBorders>
            <w:vAlign w:val="center"/>
          </w:tcPr>
          <w:p w14:paraId="56C468F6">
            <w:pPr>
              <w:pStyle w:val="184"/>
              <w:rPr>
                <w:rFonts w:hint="default"/>
                <w:highlight w:val="none"/>
                <w:lang w:val="en-US" w:eastAsia="zh-CN"/>
              </w:rPr>
            </w:pPr>
            <w:r>
              <w:rPr>
                <w:rFonts w:hint="eastAsia"/>
                <w:highlight w:val="none"/>
                <w:lang w:val="en-US" w:eastAsia="zh-CN"/>
              </w:rPr>
              <w:t>66</w:t>
            </w:r>
          </w:p>
        </w:tc>
      </w:tr>
      <w:tr w14:paraId="239AD047">
        <w:tblPrEx>
          <w:tblCellMar>
            <w:top w:w="0" w:type="dxa"/>
            <w:left w:w="108" w:type="dxa"/>
            <w:bottom w:w="0" w:type="dxa"/>
            <w:right w:w="108" w:type="dxa"/>
          </w:tblCellMar>
        </w:tblPrEx>
        <w:trPr>
          <w:trHeight w:val="246" w:hRule="atLeast"/>
          <w:jc w:val="center"/>
        </w:trPr>
        <w:tc>
          <w:tcPr>
            <w:tcW w:w="1039" w:type="pct"/>
            <w:tcBorders>
              <w:top w:val="single" w:color="000000" w:sz="4" w:space="0"/>
              <w:left w:val="single" w:color="000000" w:sz="4" w:space="0"/>
              <w:bottom w:val="single" w:color="000000" w:sz="4" w:space="0"/>
              <w:right w:val="single" w:color="000000" w:sz="4" w:space="0"/>
            </w:tcBorders>
            <w:vAlign w:val="center"/>
          </w:tcPr>
          <w:p w14:paraId="368C4481">
            <w:pPr>
              <w:pStyle w:val="184"/>
              <w:rPr>
                <w:rFonts w:hint="eastAsia"/>
                <w:highlight w:val="none"/>
                <w:lang w:val="en-US" w:eastAsia="zh-CN"/>
              </w:rPr>
            </w:pPr>
            <w:r>
              <w:rPr>
                <w:rFonts w:hint="eastAsia"/>
                <w:highlight w:val="none"/>
                <w:lang w:val="en-US" w:eastAsia="zh-CN"/>
              </w:rPr>
              <w:t>0.5～5</w:t>
            </w:r>
          </w:p>
        </w:tc>
        <w:tc>
          <w:tcPr>
            <w:tcW w:w="2119" w:type="pct"/>
            <w:tcBorders>
              <w:top w:val="single" w:color="000000" w:sz="4" w:space="0"/>
              <w:left w:val="single" w:color="000000" w:sz="4" w:space="0"/>
              <w:bottom w:val="single" w:color="000000" w:sz="4" w:space="0"/>
              <w:right w:val="single" w:color="000000" w:sz="4" w:space="0"/>
            </w:tcBorders>
            <w:vAlign w:val="center"/>
          </w:tcPr>
          <w:p w14:paraId="7C23A621">
            <w:pPr>
              <w:pStyle w:val="184"/>
              <w:rPr>
                <w:rFonts w:hint="default"/>
                <w:highlight w:val="none"/>
                <w:lang w:val="en-US" w:eastAsia="zh-CN"/>
              </w:rPr>
            </w:pPr>
            <w:r>
              <w:rPr>
                <w:rFonts w:hint="eastAsia"/>
                <w:highlight w:val="none"/>
                <w:lang w:val="en-US" w:eastAsia="zh-CN"/>
              </w:rPr>
              <w:t>73</w:t>
            </w:r>
          </w:p>
        </w:tc>
        <w:tc>
          <w:tcPr>
            <w:tcW w:w="1841" w:type="pct"/>
            <w:tcBorders>
              <w:top w:val="single" w:color="000000" w:sz="4" w:space="0"/>
              <w:left w:val="single" w:color="000000" w:sz="4" w:space="0"/>
              <w:bottom w:val="single" w:color="000000" w:sz="4" w:space="0"/>
              <w:right w:val="single" w:color="000000" w:sz="4" w:space="0"/>
            </w:tcBorders>
            <w:vAlign w:val="center"/>
          </w:tcPr>
          <w:p w14:paraId="612A45DD">
            <w:pPr>
              <w:pStyle w:val="184"/>
              <w:rPr>
                <w:rFonts w:hint="default"/>
                <w:highlight w:val="none"/>
                <w:lang w:val="en-US" w:eastAsia="zh-CN"/>
              </w:rPr>
            </w:pPr>
            <w:r>
              <w:rPr>
                <w:rFonts w:hint="eastAsia"/>
                <w:highlight w:val="none"/>
                <w:lang w:val="en-US" w:eastAsia="zh-CN"/>
              </w:rPr>
              <w:t>60</w:t>
            </w:r>
          </w:p>
        </w:tc>
      </w:tr>
      <w:tr w14:paraId="592559BB">
        <w:tblPrEx>
          <w:tblCellMar>
            <w:top w:w="0" w:type="dxa"/>
            <w:left w:w="108" w:type="dxa"/>
            <w:bottom w:w="0" w:type="dxa"/>
            <w:right w:w="108" w:type="dxa"/>
          </w:tblCellMar>
        </w:tblPrEx>
        <w:trPr>
          <w:trHeight w:val="246" w:hRule="atLeast"/>
          <w:jc w:val="center"/>
        </w:trPr>
        <w:tc>
          <w:tcPr>
            <w:tcW w:w="1039" w:type="pct"/>
            <w:tcBorders>
              <w:top w:val="single" w:color="000000" w:sz="4" w:space="0"/>
              <w:left w:val="single" w:color="000000" w:sz="4" w:space="0"/>
              <w:bottom w:val="single" w:color="000000" w:sz="4" w:space="0"/>
              <w:right w:val="single" w:color="000000" w:sz="4" w:space="0"/>
            </w:tcBorders>
            <w:vAlign w:val="center"/>
          </w:tcPr>
          <w:p w14:paraId="11969E42">
            <w:pPr>
              <w:pStyle w:val="184"/>
              <w:rPr>
                <w:rFonts w:hint="default"/>
                <w:highlight w:val="none"/>
                <w:lang w:val="en-US" w:eastAsia="zh-CN"/>
              </w:rPr>
            </w:pPr>
            <w:r>
              <w:rPr>
                <w:rFonts w:hint="eastAsia"/>
                <w:highlight w:val="none"/>
                <w:lang w:val="en-US" w:eastAsia="zh-CN"/>
              </w:rPr>
              <w:t>5～30</w:t>
            </w:r>
          </w:p>
        </w:tc>
        <w:tc>
          <w:tcPr>
            <w:tcW w:w="2119" w:type="pct"/>
            <w:tcBorders>
              <w:top w:val="single" w:color="000000" w:sz="4" w:space="0"/>
              <w:left w:val="single" w:color="000000" w:sz="4" w:space="0"/>
              <w:bottom w:val="single" w:color="000000" w:sz="4" w:space="0"/>
              <w:right w:val="single" w:color="000000" w:sz="4" w:space="0"/>
            </w:tcBorders>
            <w:vAlign w:val="center"/>
          </w:tcPr>
          <w:p w14:paraId="05C571FD">
            <w:pPr>
              <w:pStyle w:val="184"/>
              <w:rPr>
                <w:rFonts w:hint="default"/>
                <w:highlight w:val="none"/>
                <w:lang w:val="en-US" w:eastAsia="zh-CN"/>
              </w:rPr>
            </w:pPr>
            <w:r>
              <w:rPr>
                <w:rFonts w:hint="eastAsia"/>
                <w:highlight w:val="none"/>
                <w:lang w:val="en-US" w:eastAsia="zh-CN"/>
              </w:rPr>
              <w:t>73</w:t>
            </w:r>
          </w:p>
        </w:tc>
        <w:tc>
          <w:tcPr>
            <w:tcW w:w="1841" w:type="pct"/>
            <w:tcBorders>
              <w:top w:val="single" w:color="000000" w:sz="4" w:space="0"/>
              <w:left w:val="single" w:color="000000" w:sz="4" w:space="0"/>
              <w:bottom w:val="single" w:color="000000" w:sz="4" w:space="0"/>
              <w:right w:val="single" w:color="000000" w:sz="4" w:space="0"/>
            </w:tcBorders>
            <w:vAlign w:val="center"/>
          </w:tcPr>
          <w:p w14:paraId="6508E9B9">
            <w:pPr>
              <w:pStyle w:val="184"/>
              <w:rPr>
                <w:rFonts w:hint="default"/>
                <w:highlight w:val="none"/>
                <w:lang w:val="en-US" w:eastAsia="zh-CN"/>
              </w:rPr>
            </w:pPr>
            <w:r>
              <w:rPr>
                <w:rFonts w:hint="eastAsia"/>
                <w:highlight w:val="none"/>
                <w:lang w:val="en-US" w:eastAsia="zh-CN"/>
              </w:rPr>
              <w:t>60</w:t>
            </w:r>
          </w:p>
        </w:tc>
      </w:tr>
    </w:tbl>
    <w:p w14:paraId="0BF3AEBF">
      <w:pPr>
        <w:pStyle w:val="118"/>
        <w:rPr>
          <w:rFonts w:hint="eastAsia"/>
          <w:highlight w:val="none"/>
          <w:lang w:val="en-US" w:eastAsia="zh-CN"/>
        </w:rPr>
      </w:pPr>
      <w:r>
        <w:rPr>
          <w:rFonts w:hint="eastAsia"/>
          <w:highlight w:val="none"/>
          <w:lang w:val="en-US" w:eastAsia="zh-CN"/>
        </w:rPr>
        <w:t>辐射骚扰限值</w:t>
      </w:r>
    </w:p>
    <w:tbl>
      <w:tblPr>
        <w:tblStyle w:val="29"/>
        <w:tblW w:w="4994" w:type="pct"/>
        <w:jc w:val="center"/>
        <w:tblLayout w:type="autofit"/>
        <w:tblCellMar>
          <w:top w:w="0" w:type="dxa"/>
          <w:left w:w="108" w:type="dxa"/>
          <w:bottom w:w="0" w:type="dxa"/>
          <w:right w:w="108" w:type="dxa"/>
        </w:tblCellMar>
      </w:tblPr>
      <w:tblGrid>
        <w:gridCol w:w="1987"/>
        <w:gridCol w:w="4052"/>
        <w:gridCol w:w="3521"/>
      </w:tblGrid>
      <w:tr w14:paraId="618112CC">
        <w:tblPrEx>
          <w:tblCellMar>
            <w:top w:w="0" w:type="dxa"/>
            <w:left w:w="108" w:type="dxa"/>
            <w:bottom w:w="0" w:type="dxa"/>
            <w:right w:w="108" w:type="dxa"/>
          </w:tblCellMar>
        </w:tblPrEx>
        <w:trPr>
          <w:trHeight w:val="237" w:hRule="atLeast"/>
          <w:jc w:val="center"/>
        </w:trPr>
        <w:tc>
          <w:tcPr>
            <w:tcW w:w="1039" w:type="pct"/>
            <w:vMerge w:val="restart"/>
            <w:tcBorders>
              <w:top w:val="single" w:color="000000" w:sz="4" w:space="0"/>
              <w:left w:val="single" w:color="000000" w:sz="4" w:space="0"/>
              <w:bottom w:val="single" w:color="000000" w:sz="4" w:space="0"/>
              <w:right w:val="single" w:color="000000" w:sz="4" w:space="0"/>
            </w:tcBorders>
            <w:vAlign w:val="center"/>
          </w:tcPr>
          <w:p w14:paraId="4814A9BA">
            <w:pPr>
              <w:pStyle w:val="184"/>
              <w:rPr>
                <w:rFonts w:hint="default"/>
                <w:highlight w:val="none"/>
                <w:lang w:val="en-US"/>
              </w:rPr>
            </w:pPr>
            <w:r>
              <w:rPr>
                <w:rFonts w:hint="eastAsia"/>
                <w:highlight w:val="none"/>
                <w:lang w:val="en-US" w:eastAsia="zh-CN"/>
              </w:rPr>
              <w:t>频率范围/MHz</w:t>
            </w:r>
          </w:p>
        </w:tc>
        <w:tc>
          <w:tcPr>
            <w:tcW w:w="3960" w:type="pct"/>
            <w:gridSpan w:val="2"/>
            <w:tcBorders>
              <w:top w:val="single" w:color="000000" w:sz="4" w:space="0"/>
              <w:left w:val="single" w:color="000000" w:sz="4" w:space="0"/>
              <w:bottom w:val="single" w:color="000000" w:sz="4" w:space="0"/>
              <w:right w:val="single" w:color="000000" w:sz="4" w:space="0"/>
            </w:tcBorders>
            <w:vAlign w:val="center"/>
          </w:tcPr>
          <w:p w14:paraId="32E6D5E9">
            <w:pPr>
              <w:pStyle w:val="184"/>
              <w:rPr>
                <w:rFonts w:hint="eastAsia"/>
                <w:highlight w:val="none"/>
                <w:lang w:val="en-US" w:eastAsia="zh-CN"/>
              </w:rPr>
            </w:pPr>
            <w:r>
              <w:rPr>
                <w:rFonts w:hint="eastAsia"/>
                <w:highlight w:val="none"/>
                <w:lang w:val="en-US" w:eastAsia="zh-CN"/>
              </w:rPr>
              <w:t>额定功率≤20 kVA</w:t>
            </w:r>
          </w:p>
        </w:tc>
      </w:tr>
      <w:tr w14:paraId="2CB50C40">
        <w:tblPrEx>
          <w:tblCellMar>
            <w:top w:w="0" w:type="dxa"/>
            <w:left w:w="108" w:type="dxa"/>
            <w:bottom w:w="0" w:type="dxa"/>
            <w:right w:w="108" w:type="dxa"/>
          </w:tblCellMar>
        </w:tblPrEx>
        <w:trPr>
          <w:trHeight w:val="237" w:hRule="atLeast"/>
          <w:jc w:val="center"/>
        </w:trPr>
        <w:tc>
          <w:tcPr>
            <w:tcW w:w="1039" w:type="pct"/>
            <w:vMerge w:val="continue"/>
            <w:tcBorders>
              <w:left w:val="single" w:color="000000" w:sz="4" w:space="0"/>
              <w:right w:val="single" w:color="000000" w:sz="4" w:space="0"/>
            </w:tcBorders>
            <w:vAlign w:val="center"/>
          </w:tcPr>
          <w:p w14:paraId="2427746D">
            <w:pPr>
              <w:pStyle w:val="184"/>
              <w:rPr>
                <w:rFonts w:hint="eastAsia"/>
                <w:highlight w:val="none"/>
                <w:lang w:val="en-US" w:eastAsia="zh-CN"/>
              </w:rPr>
            </w:pPr>
          </w:p>
        </w:tc>
        <w:tc>
          <w:tcPr>
            <w:tcW w:w="3960" w:type="pct"/>
            <w:gridSpan w:val="2"/>
            <w:tcBorders>
              <w:top w:val="single" w:color="000000" w:sz="4" w:space="0"/>
              <w:left w:val="single" w:color="000000" w:sz="4" w:space="0"/>
              <w:bottom w:val="single" w:color="000000" w:sz="4" w:space="0"/>
              <w:right w:val="single" w:color="000000" w:sz="4" w:space="0"/>
            </w:tcBorders>
            <w:vAlign w:val="center"/>
          </w:tcPr>
          <w:p w14:paraId="6BE48212">
            <w:pPr>
              <w:pStyle w:val="184"/>
              <w:rPr>
                <w:rFonts w:hint="eastAsia"/>
                <w:highlight w:val="none"/>
                <w:lang w:val="en-US" w:eastAsia="zh-CN"/>
              </w:rPr>
            </w:pPr>
            <w:r>
              <w:rPr>
                <w:rFonts w:hint="eastAsia"/>
                <w:highlight w:val="none"/>
                <w:lang w:val="en-US" w:eastAsia="zh-CN"/>
              </w:rPr>
              <w:t>准峰值/dB（μV/m）</w:t>
            </w:r>
          </w:p>
        </w:tc>
      </w:tr>
      <w:tr w14:paraId="75AA9635">
        <w:tblPrEx>
          <w:tblCellMar>
            <w:top w:w="0" w:type="dxa"/>
            <w:left w:w="108" w:type="dxa"/>
            <w:bottom w:w="0" w:type="dxa"/>
            <w:right w:w="108" w:type="dxa"/>
          </w:tblCellMar>
        </w:tblPrEx>
        <w:trPr>
          <w:trHeight w:val="246" w:hRule="atLeast"/>
          <w:jc w:val="center"/>
        </w:trPr>
        <w:tc>
          <w:tcPr>
            <w:tcW w:w="1039" w:type="pct"/>
            <w:vMerge w:val="continue"/>
            <w:tcBorders>
              <w:top w:val="single" w:color="000000" w:sz="4" w:space="0"/>
              <w:left w:val="single" w:color="000000" w:sz="4" w:space="0"/>
              <w:bottom w:val="single" w:color="000000" w:sz="4" w:space="0"/>
              <w:right w:val="single" w:color="000000" w:sz="4" w:space="0"/>
            </w:tcBorders>
            <w:vAlign w:val="center"/>
          </w:tcPr>
          <w:p w14:paraId="74F2090F">
            <w:pPr>
              <w:pStyle w:val="184"/>
              <w:rPr>
                <w:highlight w:val="none"/>
              </w:rPr>
            </w:pPr>
          </w:p>
        </w:tc>
        <w:tc>
          <w:tcPr>
            <w:tcW w:w="2119" w:type="pct"/>
            <w:tcBorders>
              <w:top w:val="single" w:color="000000" w:sz="4" w:space="0"/>
              <w:left w:val="single" w:color="000000" w:sz="4" w:space="0"/>
              <w:bottom w:val="single" w:color="000000" w:sz="4" w:space="0"/>
              <w:right w:val="single" w:color="000000" w:sz="4" w:space="0"/>
            </w:tcBorders>
            <w:vAlign w:val="center"/>
          </w:tcPr>
          <w:p w14:paraId="4260E145">
            <w:pPr>
              <w:pStyle w:val="184"/>
              <w:rPr>
                <w:rFonts w:hint="default" w:eastAsia="宋体"/>
                <w:highlight w:val="none"/>
                <w:lang w:val="en-US" w:eastAsia="zh-CN"/>
              </w:rPr>
            </w:pPr>
            <w:r>
              <w:rPr>
                <w:rFonts w:hint="eastAsia"/>
                <w:highlight w:val="none"/>
                <w:lang w:val="en-US" w:eastAsia="zh-CN"/>
              </w:rPr>
              <w:t>10</w:t>
            </w:r>
            <w:r>
              <w:rPr>
                <w:rFonts w:hint="default" w:ascii="Times New Roman" w:hAnsi="Times New Roman" w:cs="Times New Roman"/>
                <w:highlight w:val="none"/>
                <w:lang w:val="en-US" w:eastAsia="zh-CN"/>
              </w:rPr>
              <w:t xml:space="preserve"> </w:t>
            </w:r>
            <w:r>
              <w:rPr>
                <w:rFonts w:hint="eastAsia"/>
                <w:highlight w:val="none"/>
                <w:lang w:val="en-US" w:eastAsia="zh-CN"/>
              </w:rPr>
              <w:t>m测量距离</w:t>
            </w:r>
          </w:p>
        </w:tc>
        <w:tc>
          <w:tcPr>
            <w:tcW w:w="1841" w:type="pct"/>
            <w:tcBorders>
              <w:top w:val="single" w:color="000000" w:sz="4" w:space="0"/>
              <w:left w:val="single" w:color="000000" w:sz="4" w:space="0"/>
              <w:bottom w:val="single" w:color="000000" w:sz="4" w:space="0"/>
              <w:right w:val="single" w:color="000000" w:sz="4" w:space="0"/>
            </w:tcBorders>
            <w:vAlign w:val="center"/>
          </w:tcPr>
          <w:p w14:paraId="40D46783">
            <w:pPr>
              <w:pStyle w:val="184"/>
              <w:rPr>
                <w:rFonts w:hint="eastAsia" w:eastAsia="宋体"/>
                <w:highlight w:val="none"/>
                <w:lang w:val="en-US" w:eastAsia="zh-CN"/>
              </w:rPr>
            </w:pPr>
            <w:r>
              <w:rPr>
                <w:rFonts w:hint="eastAsia"/>
                <w:highlight w:val="none"/>
                <w:lang w:val="en-US" w:eastAsia="zh-CN"/>
              </w:rPr>
              <w:t>3</w:t>
            </w:r>
            <w:r>
              <w:rPr>
                <w:rFonts w:hint="default" w:ascii="Times New Roman" w:hAnsi="Times New Roman" w:cs="Times New Roman"/>
                <w:highlight w:val="none"/>
                <w:lang w:val="en-US" w:eastAsia="zh-CN"/>
              </w:rPr>
              <w:t xml:space="preserve"> </w:t>
            </w:r>
            <w:r>
              <w:rPr>
                <w:rFonts w:hint="eastAsia"/>
                <w:highlight w:val="none"/>
                <w:lang w:val="en-US" w:eastAsia="zh-CN"/>
              </w:rPr>
              <w:t>m测量距离</w:t>
            </w:r>
          </w:p>
        </w:tc>
      </w:tr>
      <w:tr w14:paraId="13B9C2F6">
        <w:tblPrEx>
          <w:tblCellMar>
            <w:top w:w="0" w:type="dxa"/>
            <w:left w:w="108" w:type="dxa"/>
            <w:bottom w:w="0" w:type="dxa"/>
            <w:right w:w="108" w:type="dxa"/>
          </w:tblCellMar>
        </w:tblPrEx>
        <w:trPr>
          <w:trHeight w:val="246" w:hRule="atLeast"/>
          <w:jc w:val="center"/>
        </w:trPr>
        <w:tc>
          <w:tcPr>
            <w:tcW w:w="1039" w:type="pct"/>
            <w:tcBorders>
              <w:top w:val="single" w:color="000000" w:sz="4" w:space="0"/>
              <w:left w:val="single" w:color="000000" w:sz="4" w:space="0"/>
              <w:bottom w:val="single" w:color="000000" w:sz="4" w:space="0"/>
              <w:right w:val="single" w:color="000000" w:sz="4" w:space="0"/>
            </w:tcBorders>
            <w:vAlign w:val="center"/>
          </w:tcPr>
          <w:p w14:paraId="396F0AB5">
            <w:pPr>
              <w:pStyle w:val="184"/>
              <w:rPr>
                <w:rFonts w:hint="default" w:eastAsia="宋体"/>
                <w:highlight w:val="none"/>
                <w:lang w:val="en-US" w:eastAsia="zh-CN"/>
              </w:rPr>
            </w:pPr>
            <w:r>
              <w:rPr>
                <w:rFonts w:hint="eastAsia"/>
                <w:highlight w:val="none"/>
                <w:lang w:val="en-US" w:eastAsia="zh-CN"/>
              </w:rPr>
              <w:t>30～230</w:t>
            </w:r>
          </w:p>
        </w:tc>
        <w:tc>
          <w:tcPr>
            <w:tcW w:w="2119" w:type="pct"/>
            <w:tcBorders>
              <w:top w:val="single" w:color="000000" w:sz="4" w:space="0"/>
              <w:left w:val="single" w:color="000000" w:sz="4" w:space="0"/>
              <w:bottom w:val="single" w:color="000000" w:sz="4" w:space="0"/>
              <w:right w:val="single" w:color="000000" w:sz="4" w:space="0"/>
            </w:tcBorders>
            <w:vAlign w:val="center"/>
          </w:tcPr>
          <w:p w14:paraId="3B74BC54">
            <w:pPr>
              <w:pStyle w:val="184"/>
              <w:rPr>
                <w:rFonts w:hint="default"/>
                <w:highlight w:val="none"/>
                <w:lang w:val="en-US" w:eastAsia="zh-CN"/>
              </w:rPr>
            </w:pPr>
            <w:r>
              <w:rPr>
                <w:rFonts w:hint="eastAsia"/>
                <w:highlight w:val="none"/>
                <w:lang w:val="en-US" w:eastAsia="zh-CN"/>
              </w:rPr>
              <w:t>40</w:t>
            </w:r>
          </w:p>
        </w:tc>
        <w:tc>
          <w:tcPr>
            <w:tcW w:w="1841" w:type="pct"/>
            <w:tcBorders>
              <w:top w:val="single" w:color="000000" w:sz="4" w:space="0"/>
              <w:left w:val="single" w:color="000000" w:sz="4" w:space="0"/>
              <w:bottom w:val="single" w:color="000000" w:sz="4" w:space="0"/>
              <w:right w:val="single" w:color="000000" w:sz="4" w:space="0"/>
            </w:tcBorders>
            <w:vAlign w:val="center"/>
          </w:tcPr>
          <w:p w14:paraId="5C07AA89">
            <w:pPr>
              <w:pStyle w:val="184"/>
              <w:rPr>
                <w:rFonts w:hint="default"/>
                <w:highlight w:val="none"/>
                <w:lang w:val="en-US" w:eastAsia="zh-CN"/>
              </w:rPr>
            </w:pPr>
            <w:r>
              <w:rPr>
                <w:rFonts w:hint="eastAsia"/>
                <w:highlight w:val="none"/>
                <w:lang w:val="en-US" w:eastAsia="zh-CN"/>
              </w:rPr>
              <w:t>50</w:t>
            </w:r>
          </w:p>
        </w:tc>
      </w:tr>
      <w:tr w14:paraId="57E70567">
        <w:tblPrEx>
          <w:tblCellMar>
            <w:top w:w="0" w:type="dxa"/>
            <w:left w:w="108" w:type="dxa"/>
            <w:bottom w:w="0" w:type="dxa"/>
            <w:right w:w="108" w:type="dxa"/>
          </w:tblCellMar>
        </w:tblPrEx>
        <w:trPr>
          <w:trHeight w:val="246" w:hRule="atLeast"/>
          <w:jc w:val="center"/>
        </w:trPr>
        <w:tc>
          <w:tcPr>
            <w:tcW w:w="1039" w:type="pct"/>
            <w:tcBorders>
              <w:top w:val="single" w:color="000000" w:sz="4" w:space="0"/>
              <w:left w:val="single" w:color="000000" w:sz="4" w:space="0"/>
              <w:bottom w:val="single" w:color="000000" w:sz="4" w:space="0"/>
              <w:right w:val="single" w:color="000000" w:sz="4" w:space="0"/>
            </w:tcBorders>
            <w:vAlign w:val="center"/>
          </w:tcPr>
          <w:p w14:paraId="05E20E6D">
            <w:pPr>
              <w:pStyle w:val="184"/>
              <w:rPr>
                <w:rFonts w:hint="default"/>
                <w:highlight w:val="none"/>
                <w:lang w:val="en-US" w:eastAsia="zh-CN"/>
              </w:rPr>
            </w:pPr>
            <w:r>
              <w:rPr>
                <w:rFonts w:hint="eastAsia"/>
                <w:highlight w:val="none"/>
                <w:lang w:val="en-US" w:eastAsia="zh-CN"/>
              </w:rPr>
              <w:t>230～1000</w:t>
            </w:r>
          </w:p>
        </w:tc>
        <w:tc>
          <w:tcPr>
            <w:tcW w:w="2119" w:type="pct"/>
            <w:tcBorders>
              <w:top w:val="single" w:color="000000" w:sz="4" w:space="0"/>
              <w:left w:val="single" w:color="000000" w:sz="4" w:space="0"/>
              <w:bottom w:val="single" w:color="000000" w:sz="4" w:space="0"/>
              <w:right w:val="single" w:color="000000" w:sz="4" w:space="0"/>
            </w:tcBorders>
            <w:vAlign w:val="center"/>
          </w:tcPr>
          <w:p w14:paraId="47B101B7">
            <w:pPr>
              <w:pStyle w:val="184"/>
              <w:rPr>
                <w:rFonts w:hint="default"/>
                <w:highlight w:val="none"/>
                <w:lang w:val="en-US" w:eastAsia="zh-CN"/>
              </w:rPr>
            </w:pPr>
            <w:r>
              <w:rPr>
                <w:rFonts w:hint="eastAsia"/>
                <w:highlight w:val="none"/>
                <w:lang w:val="en-US" w:eastAsia="zh-CN"/>
              </w:rPr>
              <w:t>47</w:t>
            </w:r>
          </w:p>
        </w:tc>
        <w:tc>
          <w:tcPr>
            <w:tcW w:w="1841" w:type="pct"/>
            <w:tcBorders>
              <w:top w:val="single" w:color="000000" w:sz="4" w:space="0"/>
              <w:left w:val="single" w:color="000000" w:sz="4" w:space="0"/>
              <w:bottom w:val="single" w:color="000000" w:sz="4" w:space="0"/>
              <w:right w:val="single" w:color="000000" w:sz="4" w:space="0"/>
            </w:tcBorders>
            <w:vAlign w:val="center"/>
          </w:tcPr>
          <w:p w14:paraId="22B4B322">
            <w:pPr>
              <w:pStyle w:val="184"/>
              <w:rPr>
                <w:rFonts w:hint="default"/>
                <w:highlight w:val="none"/>
                <w:lang w:val="en-US" w:eastAsia="zh-CN"/>
              </w:rPr>
            </w:pPr>
            <w:r>
              <w:rPr>
                <w:rFonts w:hint="eastAsia"/>
                <w:highlight w:val="none"/>
                <w:lang w:val="en-US" w:eastAsia="zh-CN"/>
              </w:rPr>
              <w:t>57</w:t>
            </w:r>
          </w:p>
        </w:tc>
      </w:tr>
    </w:tbl>
    <w:p w14:paraId="358F0687">
      <w:pPr>
        <w:pStyle w:val="171"/>
        <w:ind w:left="0" w:leftChars="0" w:firstLineChars="0"/>
        <w:rPr>
          <w:rFonts w:hint="eastAsia"/>
          <w:highlight w:val="none"/>
          <w:lang w:val="en-US" w:eastAsia="zh-CN"/>
        </w:rPr>
      </w:pPr>
      <w:r>
        <w:rPr>
          <w:rFonts w:hint="eastAsia"/>
          <w:highlight w:val="none"/>
          <w:lang w:val="en-US" w:eastAsia="zh-CN"/>
        </w:rPr>
        <w:t>抗扰度试验应满足GB/T 34120的要求。</w:t>
      </w:r>
    </w:p>
    <w:p w14:paraId="2B7352BB">
      <w:pPr>
        <w:pStyle w:val="110"/>
      </w:pPr>
      <w:bookmarkStart w:id="142" w:name="_Toc9623"/>
      <w:r>
        <w:rPr>
          <w:rFonts w:hint="eastAsia"/>
        </w:rPr>
        <w:t>试验项目及方法</w:t>
      </w:r>
      <w:bookmarkEnd w:id="142"/>
    </w:p>
    <w:p w14:paraId="02398F07">
      <w:pPr>
        <w:pStyle w:val="111"/>
        <w:spacing w:before="120" w:after="120"/>
      </w:pPr>
      <w:bookmarkStart w:id="143" w:name="_Toc26368"/>
      <w:bookmarkStart w:id="144" w:name="_Toc207263653"/>
      <w:bookmarkStart w:id="145" w:name="_Toc207263998"/>
      <w:bookmarkStart w:id="146" w:name="_Toc188371216"/>
      <w:bookmarkStart w:id="147" w:name="_Toc25925"/>
      <w:bookmarkStart w:id="148" w:name="_Toc207264073"/>
      <w:bookmarkStart w:id="149" w:name="_Toc209022148"/>
      <w:bookmarkStart w:id="150" w:name="_Toc214620400"/>
      <w:r>
        <w:rPr>
          <w:rFonts w:hint="eastAsia"/>
        </w:rPr>
        <w:t>检验项目分类</w:t>
      </w:r>
      <w:bookmarkEnd w:id="143"/>
      <w:bookmarkEnd w:id="144"/>
      <w:bookmarkEnd w:id="145"/>
      <w:bookmarkEnd w:id="146"/>
      <w:bookmarkEnd w:id="147"/>
      <w:bookmarkEnd w:id="148"/>
      <w:bookmarkEnd w:id="149"/>
      <w:bookmarkEnd w:id="150"/>
    </w:p>
    <w:p w14:paraId="7530B0C5">
      <w:pPr>
        <w:pStyle w:val="64"/>
      </w:pPr>
      <w:r>
        <w:t>检验分为</w:t>
      </w:r>
      <w:r>
        <w:rPr>
          <w:rFonts w:hint="eastAsia"/>
        </w:rPr>
        <w:t>整机试验、高频隔离变压器试验、控制保护装置试验和功率模块试验</w:t>
      </w:r>
      <w:r>
        <w:t>。</w:t>
      </w:r>
    </w:p>
    <w:p w14:paraId="67FA5C5E">
      <w:pPr>
        <w:pStyle w:val="111"/>
        <w:spacing w:before="120" w:after="120"/>
      </w:pPr>
      <w:bookmarkStart w:id="151" w:name="_Toc207264074"/>
      <w:bookmarkStart w:id="152" w:name="_Toc207263654"/>
      <w:bookmarkStart w:id="153" w:name="_Toc207263999"/>
      <w:bookmarkStart w:id="154" w:name="_Toc6580"/>
      <w:bookmarkStart w:id="155" w:name="_Toc214620401"/>
      <w:bookmarkStart w:id="156" w:name="_Toc209022149"/>
      <w:bookmarkStart w:id="157" w:name="_Toc188371217"/>
      <w:bookmarkStart w:id="158" w:name="_Toc29135"/>
      <w:r>
        <w:rPr>
          <w:rFonts w:hint="eastAsia"/>
        </w:rPr>
        <w:t>整机检验项目</w:t>
      </w:r>
      <w:bookmarkEnd w:id="151"/>
      <w:bookmarkEnd w:id="152"/>
      <w:bookmarkEnd w:id="153"/>
      <w:bookmarkEnd w:id="154"/>
      <w:bookmarkEnd w:id="155"/>
      <w:bookmarkEnd w:id="156"/>
      <w:bookmarkEnd w:id="157"/>
      <w:bookmarkEnd w:id="158"/>
    </w:p>
    <w:p w14:paraId="0AB67B29">
      <w:pPr>
        <w:pStyle w:val="64"/>
      </w:pPr>
      <w:r>
        <w:rPr>
          <w:rFonts w:hint="eastAsia"/>
        </w:rPr>
        <w:t>整机检验项目如表</w:t>
      </w:r>
      <w:r>
        <w:rPr>
          <w:rFonts w:hint="eastAsia"/>
          <w:lang w:val="en-US" w:eastAsia="zh-CN"/>
        </w:rPr>
        <w:t>10</w:t>
      </w:r>
      <w:r>
        <w:rPr>
          <w:rFonts w:hint="eastAsia"/>
        </w:rPr>
        <w:t>所示。检验项目</w:t>
      </w:r>
      <w:r>
        <w:t>可经供需双方协商确定。</w:t>
      </w:r>
    </w:p>
    <w:p w14:paraId="159F94C9">
      <w:pPr>
        <w:pStyle w:val="118"/>
      </w:pPr>
      <w:r>
        <w:rPr>
          <w:rFonts w:hint="eastAsia"/>
        </w:rPr>
        <w:t>检验项目</w:t>
      </w:r>
    </w:p>
    <w:tbl>
      <w:tblPr>
        <w:tblStyle w:val="29"/>
        <w:tblW w:w="5032" w:type="pct"/>
        <w:tblInd w:w="0" w:type="dxa"/>
        <w:tblLayout w:type="autofit"/>
        <w:tblCellMar>
          <w:top w:w="0" w:type="dxa"/>
          <w:left w:w="108" w:type="dxa"/>
          <w:bottom w:w="0" w:type="dxa"/>
          <w:right w:w="108" w:type="dxa"/>
        </w:tblCellMar>
      </w:tblPr>
      <w:tblGrid>
        <w:gridCol w:w="743"/>
        <w:gridCol w:w="1439"/>
        <w:gridCol w:w="1206"/>
        <w:gridCol w:w="2608"/>
        <w:gridCol w:w="1212"/>
        <w:gridCol w:w="1212"/>
        <w:gridCol w:w="1212"/>
      </w:tblGrid>
      <w:tr w14:paraId="7E41CC2B">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261BA209">
            <w:pPr>
              <w:pStyle w:val="184"/>
            </w:pPr>
            <w:r>
              <w:t>序号</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0D2403E5">
            <w:pPr>
              <w:pStyle w:val="184"/>
            </w:pPr>
            <w:r>
              <w:t>检测项目</w:t>
            </w:r>
          </w:p>
        </w:tc>
        <w:tc>
          <w:tcPr>
            <w:tcW w:w="629" w:type="pct"/>
            <w:tcBorders>
              <w:top w:val="single" w:color="000000" w:sz="4" w:space="0"/>
              <w:left w:val="single" w:color="000000" w:sz="4" w:space="0"/>
              <w:bottom w:val="single" w:color="000000" w:sz="4" w:space="0"/>
              <w:right w:val="single" w:color="000000" w:sz="4" w:space="0"/>
            </w:tcBorders>
            <w:vAlign w:val="center"/>
          </w:tcPr>
          <w:p w14:paraId="39B62CC0">
            <w:pPr>
              <w:pStyle w:val="184"/>
            </w:pPr>
            <w:r>
              <w:rPr>
                <w:rFonts w:hint="eastAsia"/>
              </w:rPr>
              <w:t>相关（型式）</w:t>
            </w:r>
            <w:r>
              <w:t>试验</w:t>
            </w:r>
          </w:p>
        </w:tc>
        <w:tc>
          <w:tcPr>
            <w:tcW w:w="629" w:type="pct"/>
            <w:tcBorders>
              <w:top w:val="single" w:color="000000" w:sz="4" w:space="0"/>
              <w:left w:val="single" w:color="000000" w:sz="4" w:space="0"/>
              <w:bottom w:val="single" w:color="000000" w:sz="4" w:space="0"/>
              <w:right w:val="single" w:color="000000" w:sz="4" w:space="0"/>
            </w:tcBorders>
            <w:vAlign w:val="center"/>
          </w:tcPr>
          <w:p w14:paraId="1CDFA34F">
            <w:pPr>
              <w:pStyle w:val="184"/>
              <w:rPr>
                <w:rFonts w:hint="eastAsia" w:eastAsia="宋体"/>
                <w:lang w:eastAsia="zh-CN"/>
              </w:rPr>
            </w:pPr>
            <w:r>
              <w:t>出厂试验</w:t>
            </w:r>
          </w:p>
        </w:tc>
        <w:tc>
          <w:tcPr>
            <w:tcW w:w="627" w:type="pct"/>
            <w:tcBorders>
              <w:top w:val="single" w:color="000000" w:sz="4" w:space="0"/>
              <w:left w:val="single" w:color="000000" w:sz="4" w:space="0"/>
              <w:bottom w:val="single" w:color="000000" w:sz="4" w:space="0"/>
              <w:right w:val="single" w:color="000000" w:sz="4" w:space="0"/>
            </w:tcBorders>
            <w:vAlign w:val="center"/>
          </w:tcPr>
          <w:p w14:paraId="4A88D435">
            <w:pPr>
              <w:pStyle w:val="184"/>
            </w:pPr>
            <w:r>
              <w:t>现场试验</w:t>
            </w:r>
          </w:p>
        </w:tc>
      </w:tr>
      <w:tr w14:paraId="767352EE">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D42826F">
            <w:pPr>
              <w:pStyle w:val="184"/>
            </w:pPr>
            <w:r>
              <w:rPr>
                <w:rFonts w:hint="eastAsia"/>
              </w:rPr>
              <w:t xml:space="preserve">1 </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3B92BD0F">
            <w:pPr>
              <w:pStyle w:val="184"/>
            </w:pPr>
            <w:r>
              <w:t>外观与结构检查</w:t>
            </w:r>
          </w:p>
        </w:tc>
        <w:tc>
          <w:tcPr>
            <w:tcW w:w="629" w:type="pct"/>
            <w:tcBorders>
              <w:top w:val="single" w:color="000000" w:sz="4" w:space="0"/>
              <w:left w:val="single" w:color="000000" w:sz="4" w:space="0"/>
              <w:bottom w:val="single" w:color="000000" w:sz="4" w:space="0"/>
              <w:right w:val="single" w:color="000000" w:sz="4" w:space="0"/>
            </w:tcBorders>
            <w:vAlign w:val="center"/>
          </w:tcPr>
          <w:p w14:paraId="076BAF09">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4926A3CB">
            <w:pPr>
              <w:pStyle w:val="184"/>
            </w:pPr>
            <w:r>
              <w:t>√</w:t>
            </w:r>
          </w:p>
        </w:tc>
        <w:tc>
          <w:tcPr>
            <w:tcW w:w="627" w:type="pct"/>
            <w:tcBorders>
              <w:top w:val="single" w:color="000000" w:sz="4" w:space="0"/>
              <w:left w:val="single" w:color="000000" w:sz="4" w:space="0"/>
              <w:bottom w:val="single" w:color="000000" w:sz="4" w:space="0"/>
              <w:right w:val="single" w:color="000000" w:sz="4" w:space="0"/>
            </w:tcBorders>
            <w:vAlign w:val="center"/>
          </w:tcPr>
          <w:p w14:paraId="6A666D13">
            <w:pPr>
              <w:pStyle w:val="184"/>
            </w:pPr>
            <w:r>
              <w:t>√</w:t>
            </w:r>
          </w:p>
        </w:tc>
      </w:tr>
      <w:tr w14:paraId="2972646D">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1417D48">
            <w:pPr>
              <w:pStyle w:val="184"/>
            </w:pPr>
            <w:r>
              <w:rPr>
                <w:rFonts w:hint="eastAsia"/>
              </w:rPr>
              <w:t xml:space="preserve">2 </w:t>
            </w:r>
          </w:p>
        </w:tc>
        <w:tc>
          <w:tcPr>
            <w:tcW w:w="747" w:type="pct"/>
            <w:vMerge w:val="restart"/>
            <w:tcBorders>
              <w:top w:val="single" w:color="000000" w:sz="4" w:space="0"/>
              <w:left w:val="single" w:color="000000" w:sz="4" w:space="0"/>
              <w:bottom w:val="single" w:color="000000" w:sz="4" w:space="0"/>
              <w:right w:val="single" w:color="000000" w:sz="4" w:space="0"/>
            </w:tcBorders>
            <w:vAlign w:val="center"/>
          </w:tcPr>
          <w:p w14:paraId="087000B6">
            <w:pPr>
              <w:pStyle w:val="184"/>
            </w:pPr>
            <w:r>
              <w:t>环境适应性</w:t>
            </w: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4BD7F985">
            <w:pPr>
              <w:pStyle w:val="184"/>
            </w:pPr>
            <w:r>
              <w:t>低温工作测试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378C2E05">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17CE5354">
            <w:pPr>
              <w:pStyle w:val="184"/>
            </w:pPr>
          </w:p>
        </w:tc>
        <w:tc>
          <w:tcPr>
            <w:tcW w:w="627" w:type="pct"/>
            <w:tcBorders>
              <w:top w:val="single" w:color="000000" w:sz="4" w:space="0"/>
              <w:left w:val="single" w:color="000000" w:sz="4" w:space="0"/>
              <w:bottom w:val="single" w:color="000000" w:sz="4" w:space="0"/>
              <w:right w:val="single" w:color="000000" w:sz="4" w:space="0"/>
            </w:tcBorders>
          </w:tcPr>
          <w:p w14:paraId="615F8B5D">
            <w:pPr>
              <w:pStyle w:val="184"/>
            </w:pPr>
          </w:p>
        </w:tc>
      </w:tr>
      <w:tr w14:paraId="3C73FCE0">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248363D2">
            <w:pPr>
              <w:pStyle w:val="184"/>
            </w:pPr>
            <w:r>
              <w:rPr>
                <w:rFonts w:hint="eastAsia"/>
              </w:rPr>
              <w:t xml:space="preserve">3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5F9927EF">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119DE1F4">
            <w:pPr>
              <w:pStyle w:val="184"/>
            </w:pPr>
            <w:r>
              <w:t>高温工作测试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70F21738">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1271A76C">
            <w:pPr>
              <w:pStyle w:val="184"/>
            </w:pPr>
          </w:p>
        </w:tc>
        <w:tc>
          <w:tcPr>
            <w:tcW w:w="627" w:type="pct"/>
            <w:tcBorders>
              <w:top w:val="single" w:color="000000" w:sz="4" w:space="0"/>
              <w:left w:val="single" w:color="000000" w:sz="4" w:space="0"/>
              <w:bottom w:val="single" w:color="000000" w:sz="4" w:space="0"/>
              <w:right w:val="single" w:color="000000" w:sz="4" w:space="0"/>
            </w:tcBorders>
          </w:tcPr>
          <w:p w14:paraId="2D309940">
            <w:pPr>
              <w:pStyle w:val="184"/>
            </w:pPr>
          </w:p>
        </w:tc>
      </w:tr>
      <w:tr w14:paraId="7D8F8A19">
        <w:tblPrEx>
          <w:tblCellMar>
            <w:top w:w="0" w:type="dxa"/>
            <w:left w:w="108" w:type="dxa"/>
            <w:bottom w:w="0" w:type="dxa"/>
            <w:right w:w="108" w:type="dxa"/>
          </w:tblCellMar>
        </w:tblPrEx>
        <w:trPr>
          <w:trHeight w:val="205" w:hRule="atLeast"/>
        </w:trPr>
        <w:tc>
          <w:tcPr>
            <w:tcW w:w="386" w:type="pct"/>
            <w:tcBorders>
              <w:top w:val="single" w:color="000000" w:sz="4" w:space="0"/>
              <w:left w:val="single" w:color="000000" w:sz="4" w:space="0"/>
              <w:bottom w:val="single" w:color="000000" w:sz="4" w:space="0"/>
              <w:right w:val="single" w:color="000000" w:sz="4" w:space="0"/>
            </w:tcBorders>
            <w:vAlign w:val="center"/>
          </w:tcPr>
          <w:p w14:paraId="62B4FDCD">
            <w:pPr>
              <w:pStyle w:val="184"/>
              <w:rPr>
                <w:rFonts w:hint="eastAsia"/>
              </w:rPr>
            </w:pP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57D3C50">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57ECCE24">
            <w:pPr>
              <w:pStyle w:val="184"/>
              <w:rPr>
                <w:rFonts w:hint="default" w:eastAsia="宋体"/>
                <w:highlight w:val="none"/>
                <w:lang w:val="en-US" w:eastAsia="zh-CN"/>
              </w:rPr>
            </w:pPr>
            <w:r>
              <w:rPr>
                <w:rFonts w:hint="eastAsia"/>
                <w:highlight w:val="none"/>
                <w:lang w:val="en-US" w:eastAsia="zh-CN"/>
              </w:rPr>
              <w:t>低温存储测试</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81CF">
            <w:pPr>
              <w:pStyle w:val="184"/>
              <w:ind w:firstLine="0" w:firstLineChars="0"/>
              <w:rPr>
                <w:rFonts w:ascii="宋体" w:hAnsi="Times New Roman" w:eastAsia="宋体" w:cs="Times New Roman"/>
                <w:sz w:val="18"/>
                <w:highlight w:val="none"/>
                <w:lang w:val="en-US" w:eastAsia="zh-CN" w:bidi="ar-SA"/>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tcPr>
          <w:p w14:paraId="521D795C">
            <w:pPr>
              <w:pStyle w:val="184"/>
            </w:pPr>
          </w:p>
        </w:tc>
        <w:tc>
          <w:tcPr>
            <w:tcW w:w="627" w:type="pct"/>
            <w:tcBorders>
              <w:top w:val="single" w:color="000000" w:sz="4" w:space="0"/>
              <w:left w:val="single" w:color="000000" w:sz="4" w:space="0"/>
              <w:bottom w:val="single" w:color="000000" w:sz="4" w:space="0"/>
              <w:right w:val="single" w:color="000000" w:sz="4" w:space="0"/>
            </w:tcBorders>
          </w:tcPr>
          <w:p w14:paraId="2CD731E6">
            <w:pPr>
              <w:pStyle w:val="184"/>
            </w:pPr>
          </w:p>
        </w:tc>
      </w:tr>
      <w:tr w14:paraId="2BA1630C">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A1165AE">
            <w:pPr>
              <w:pStyle w:val="184"/>
              <w:rPr>
                <w:rFonts w:hint="eastAsia"/>
              </w:rPr>
            </w:pP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6D3B37FC">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095D6690">
            <w:pPr>
              <w:pStyle w:val="184"/>
              <w:rPr>
                <w:highlight w:val="none"/>
              </w:rPr>
            </w:pPr>
            <w:r>
              <w:rPr>
                <w:rFonts w:hint="eastAsia"/>
                <w:highlight w:val="none"/>
                <w:lang w:val="en-US" w:eastAsia="zh-CN"/>
              </w:rPr>
              <w:t>高温存储测试</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E0AFB">
            <w:pPr>
              <w:pStyle w:val="184"/>
              <w:ind w:firstLine="0" w:firstLineChars="0"/>
              <w:rPr>
                <w:rFonts w:ascii="宋体" w:hAnsi="Times New Roman" w:eastAsia="宋体" w:cs="Times New Roman"/>
                <w:sz w:val="18"/>
                <w:highlight w:val="none"/>
                <w:lang w:val="en-US" w:eastAsia="zh-CN" w:bidi="ar-SA"/>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tcPr>
          <w:p w14:paraId="4D8697B8">
            <w:pPr>
              <w:pStyle w:val="184"/>
            </w:pPr>
          </w:p>
        </w:tc>
        <w:tc>
          <w:tcPr>
            <w:tcW w:w="627" w:type="pct"/>
            <w:tcBorders>
              <w:top w:val="single" w:color="000000" w:sz="4" w:space="0"/>
              <w:left w:val="single" w:color="000000" w:sz="4" w:space="0"/>
              <w:bottom w:val="single" w:color="000000" w:sz="4" w:space="0"/>
              <w:right w:val="single" w:color="000000" w:sz="4" w:space="0"/>
            </w:tcBorders>
          </w:tcPr>
          <w:p w14:paraId="63C8963A">
            <w:pPr>
              <w:pStyle w:val="184"/>
            </w:pPr>
          </w:p>
        </w:tc>
      </w:tr>
      <w:tr w14:paraId="4A9A00F4">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8B8E1EF">
            <w:pPr>
              <w:pStyle w:val="184"/>
            </w:pPr>
            <w:r>
              <w:rPr>
                <w:rFonts w:hint="eastAsia"/>
              </w:rPr>
              <w:t xml:space="preserve">4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7C06F61">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2C7DC91C">
            <w:pPr>
              <w:pStyle w:val="184"/>
              <w:rPr>
                <w:highlight w:val="none"/>
              </w:rPr>
            </w:pPr>
            <w:r>
              <w:rPr>
                <w:highlight w:val="none"/>
              </w:rPr>
              <w:t>恒定湿热存储测试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70990E29">
            <w:pPr>
              <w:pStyle w:val="184"/>
              <w:rPr>
                <w:highlight w:val="none"/>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tcPr>
          <w:p w14:paraId="3AC136AD">
            <w:pPr>
              <w:pStyle w:val="184"/>
            </w:pPr>
          </w:p>
        </w:tc>
        <w:tc>
          <w:tcPr>
            <w:tcW w:w="627" w:type="pct"/>
            <w:tcBorders>
              <w:top w:val="single" w:color="000000" w:sz="4" w:space="0"/>
              <w:left w:val="single" w:color="000000" w:sz="4" w:space="0"/>
              <w:bottom w:val="single" w:color="000000" w:sz="4" w:space="0"/>
              <w:right w:val="single" w:color="000000" w:sz="4" w:space="0"/>
            </w:tcBorders>
          </w:tcPr>
          <w:p w14:paraId="215B6763">
            <w:pPr>
              <w:pStyle w:val="184"/>
            </w:pPr>
          </w:p>
        </w:tc>
      </w:tr>
      <w:tr w14:paraId="1074D3EA">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B365DD1">
            <w:pPr>
              <w:pStyle w:val="184"/>
              <w:rPr>
                <w:rFonts w:hint="eastAsia"/>
              </w:rPr>
            </w:pP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6897599">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25140688">
            <w:pPr>
              <w:pStyle w:val="184"/>
              <w:rPr>
                <w:highlight w:val="none"/>
              </w:rPr>
            </w:pPr>
            <w:r>
              <w:rPr>
                <w:rFonts w:hint="eastAsia"/>
                <w:highlight w:val="none"/>
              </w:rPr>
              <w:t>交变湿热试验</w:t>
            </w:r>
          </w:p>
        </w:tc>
        <w:tc>
          <w:tcPr>
            <w:tcW w:w="629" w:type="pct"/>
            <w:tcBorders>
              <w:top w:val="single" w:color="000000" w:sz="4" w:space="0"/>
              <w:left w:val="single" w:color="000000" w:sz="4" w:space="0"/>
              <w:bottom w:val="single" w:color="000000" w:sz="4" w:space="0"/>
              <w:right w:val="single" w:color="000000" w:sz="4" w:space="0"/>
            </w:tcBorders>
            <w:vAlign w:val="center"/>
          </w:tcPr>
          <w:p w14:paraId="13DF2FCE">
            <w:pPr>
              <w:pStyle w:val="184"/>
              <w:rPr>
                <w:highlight w:val="none"/>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tcPr>
          <w:p w14:paraId="65D3C94E">
            <w:pPr>
              <w:pStyle w:val="184"/>
            </w:pPr>
          </w:p>
        </w:tc>
        <w:tc>
          <w:tcPr>
            <w:tcW w:w="627" w:type="pct"/>
            <w:tcBorders>
              <w:top w:val="single" w:color="000000" w:sz="4" w:space="0"/>
              <w:left w:val="single" w:color="000000" w:sz="4" w:space="0"/>
              <w:bottom w:val="single" w:color="000000" w:sz="4" w:space="0"/>
              <w:right w:val="single" w:color="000000" w:sz="4" w:space="0"/>
            </w:tcBorders>
          </w:tcPr>
          <w:p w14:paraId="5992509D">
            <w:pPr>
              <w:pStyle w:val="184"/>
            </w:pPr>
          </w:p>
        </w:tc>
      </w:tr>
      <w:tr w14:paraId="2046BB9E">
        <w:tblPrEx>
          <w:tblCellMar>
            <w:top w:w="0" w:type="dxa"/>
            <w:left w:w="108" w:type="dxa"/>
            <w:bottom w:w="0" w:type="dxa"/>
            <w:right w:w="108" w:type="dxa"/>
          </w:tblCellMar>
        </w:tblPrEx>
        <w:tc>
          <w:tcPr>
            <w:tcW w:w="386" w:type="pct"/>
            <w:vMerge w:val="restart"/>
            <w:tcBorders>
              <w:top w:val="single" w:color="000000" w:sz="4" w:space="0"/>
              <w:left w:val="single" w:color="000000" w:sz="4" w:space="0"/>
              <w:bottom w:val="single" w:color="000000" w:sz="4" w:space="0"/>
              <w:right w:val="single" w:color="000000" w:sz="4" w:space="0"/>
            </w:tcBorders>
            <w:vAlign w:val="center"/>
          </w:tcPr>
          <w:p w14:paraId="11236F21">
            <w:pPr>
              <w:pStyle w:val="184"/>
            </w:pPr>
            <w:r>
              <w:rPr>
                <w:rFonts w:hint="eastAsia"/>
              </w:rPr>
              <w:t xml:space="preserve">5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176AFA57">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7E129BAA">
            <w:pPr>
              <w:pStyle w:val="184"/>
              <w:rPr>
                <w:highlight w:val="none"/>
              </w:rPr>
            </w:pPr>
            <w:r>
              <w:rPr>
                <w:highlight w:val="none"/>
              </w:rPr>
              <w:t>盐雾测试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2AEAD493">
            <w:pPr>
              <w:pStyle w:val="184"/>
              <w:rPr>
                <w:highlight w:val="none"/>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tcPr>
          <w:p w14:paraId="0DE9E326">
            <w:pPr>
              <w:pStyle w:val="184"/>
            </w:pPr>
          </w:p>
        </w:tc>
        <w:tc>
          <w:tcPr>
            <w:tcW w:w="627" w:type="pct"/>
            <w:tcBorders>
              <w:top w:val="single" w:color="000000" w:sz="4" w:space="0"/>
              <w:left w:val="single" w:color="000000" w:sz="4" w:space="0"/>
              <w:bottom w:val="single" w:color="000000" w:sz="4" w:space="0"/>
              <w:right w:val="single" w:color="000000" w:sz="4" w:space="0"/>
            </w:tcBorders>
          </w:tcPr>
          <w:p w14:paraId="60BBD0D1">
            <w:pPr>
              <w:pStyle w:val="184"/>
            </w:pPr>
          </w:p>
        </w:tc>
      </w:tr>
      <w:tr w14:paraId="0A28570D">
        <w:tblPrEx>
          <w:tblCellMar>
            <w:top w:w="0" w:type="dxa"/>
            <w:left w:w="108" w:type="dxa"/>
            <w:bottom w:w="0" w:type="dxa"/>
            <w:right w:w="108" w:type="dxa"/>
          </w:tblCellMar>
        </w:tblPrEx>
        <w:tc>
          <w:tcPr>
            <w:tcW w:w="386" w:type="pct"/>
            <w:vMerge w:val="continue"/>
            <w:tcBorders>
              <w:top w:val="single" w:color="000000" w:sz="4" w:space="0"/>
              <w:left w:val="single" w:color="000000" w:sz="4" w:space="0"/>
              <w:bottom w:val="single" w:color="000000" w:sz="4" w:space="0"/>
              <w:right w:val="single" w:color="000000" w:sz="4" w:space="0"/>
            </w:tcBorders>
            <w:vAlign w:val="center"/>
          </w:tcPr>
          <w:p w14:paraId="54986022">
            <w:pPr>
              <w:pStyle w:val="184"/>
            </w:pP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4ACD9FB">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26336606">
            <w:pPr>
              <w:pStyle w:val="184"/>
            </w:pPr>
            <w:r>
              <w:t>防护等级测试</w:t>
            </w:r>
          </w:p>
        </w:tc>
        <w:tc>
          <w:tcPr>
            <w:tcW w:w="629" w:type="pct"/>
            <w:tcBorders>
              <w:top w:val="single" w:color="000000" w:sz="4" w:space="0"/>
              <w:left w:val="single" w:color="000000" w:sz="4" w:space="0"/>
              <w:bottom w:val="single" w:color="000000" w:sz="4" w:space="0"/>
              <w:right w:val="single" w:color="000000" w:sz="4" w:space="0"/>
            </w:tcBorders>
            <w:vAlign w:val="bottom"/>
          </w:tcPr>
          <w:p w14:paraId="1CDDC721">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032CF364">
            <w:pPr>
              <w:pStyle w:val="184"/>
            </w:pPr>
          </w:p>
        </w:tc>
        <w:tc>
          <w:tcPr>
            <w:tcW w:w="627" w:type="pct"/>
            <w:tcBorders>
              <w:top w:val="single" w:color="000000" w:sz="4" w:space="0"/>
              <w:left w:val="single" w:color="000000" w:sz="4" w:space="0"/>
              <w:bottom w:val="single" w:color="000000" w:sz="4" w:space="0"/>
              <w:right w:val="single" w:color="000000" w:sz="4" w:space="0"/>
            </w:tcBorders>
          </w:tcPr>
          <w:p w14:paraId="6E81F1DB">
            <w:pPr>
              <w:pStyle w:val="184"/>
            </w:pPr>
          </w:p>
        </w:tc>
      </w:tr>
      <w:tr w14:paraId="5FEFE617">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8A034E9">
            <w:pPr>
              <w:pStyle w:val="184"/>
            </w:pPr>
            <w:r>
              <w:t xml:space="preserve">6 </w:t>
            </w:r>
          </w:p>
        </w:tc>
        <w:tc>
          <w:tcPr>
            <w:tcW w:w="747" w:type="pct"/>
            <w:vMerge w:val="restart"/>
            <w:tcBorders>
              <w:top w:val="single" w:color="000000" w:sz="4" w:space="0"/>
              <w:left w:val="single" w:color="000000" w:sz="4" w:space="0"/>
              <w:bottom w:val="single" w:color="000000" w:sz="4" w:space="0"/>
              <w:right w:val="single" w:color="000000" w:sz="4" w:space="0"/>
            </w:tcBorders>
            <w:vAlign w:val="center"/>
          </w:tcPr>
          <w:p w14:paraId="451AA869">
            <w:pPr>
              <w:pStyle w:val="184"/>
            </w:pPr>
            <w:r>
              <w:t>安全性能</w:t>
            </w:r>
          </w:p>
        </w:tc>
        <w:tc>
          <w:tcPr>
            <w:tcW w:w="626" w:type="pct"/>
            <w:vMerge w:val="restart"/>
            <w:tcBorders>
              <w:top w:val="single" w:color="000000" w:sz="4" w:space="0"/>
              <w:left w:val="single" w:color="000000" w:sz="4" w:space="0"/>
              <w:bottom w:val="single" w:color="000000" w:sz="4" w:space="0"/>
              <w:right w:val="single" w:color="000000" w:sz="4" w:space="0"/>
            </w:tcBorders>
            <w:vAlign w:val="center"/>
          </w:tcPr>
          <w:p w14:paraId="2ABB8EDA">
            <w:pPr>
              <w:pStyle w:val="184"/>
            </w:pPr>
            <w:r>
              <w:t>电击防护</w:t>
            </w:r>
          </w:p>
        </w:tc>
        <w:tc>
          <w:tcPr>
            <w:tcW w:w="1353" w:type="pct"/>
            <w:tcBorders>
              <w:top w:val="single" w:color="000000" w:sz="4" w:space="0"/>
              <w:left w:val="single" w:color="000000" w:sz="4" w:space="0"/>
              <w:bottom w:val="single" w:color="000000" w:sz="4" w:space="0"/>
              <w:right w:val="single" w:color="000000" w:sz="4" w:space="0"/>
            </w:tcBorders>
            <w:vAlign w:val="center"/>
          </w:tcPr>
          <w:p w14:paraId="7863F857">
            <w:pPr>
              <w:pStyle w:val="184"/>
            </w:pPr>
            <w:r>
              <w:t>可触及性测试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2E3B15D2">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BC0E8A4">
            <w:pPr>
              <w:pStyle w:val="184"/>
            </w:pPr>
          </w:p>
        </w:tc>
        <w:tc>
          <w:tcPr>
            <w:tcW w:w="627" w:type="pct"/>
            <w:tcBorders>
              <w:top w:val="single" w:color="000000" w:sz="4" w:space="0"/>
              <w:left w:val="single" w:color="000000" w:sz="4" w:space="0"/>
              <w:bottom w:val="single" w:color="000000" w:sz="4" w:space="0"/>
              <w:right w:val="single" w:color="000000" w:sz="4" w:space="0"/>
            </w:tcBorders>
          </w:tcPr>
          <w:p w14:paraId="22A99CC5">
            <w:pPr>
              <w:pStyle w:val="184"/>
            </w:pPr>
          </w:p>
        </w:tc>
      </w:tr>
      <w:tr w14:paraId="7812A9A9">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115AE6DC">
            <w:pPr>
              <w:pStyle w:val="184"/>
            </w:pPr>
            <w:r>
              <w:t xml:space="preserve">7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67574BFA">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1B0AAFA8">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040180D9">
            <w:pPr>
              <w:pStyle w:val="184"/>
            </w:pPr>
            <w:r>
              <w:t>保护连接测试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48B8BCE1">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7232D87B">
            <w:pPr>
              <w:pStyle w:val="184"/>
            </w:pPr>
          </w:p>
        </w:tc>
        <w:tc>
          <w:tcPr>
            <w:tcW w:w="627" w:type="pct"/>
            <w:tcBorders>
              <w:top w:val="single" w:color="000000" w:sz="4" w:space="0"/>
              <w:left w:val="single" w:color="000000" w:sz="4" w:space="0"/>
              <w:bottom w:val="single" w:color="000000" w:sz="4" w:space="0"/>
              <w:right w:val="single" w:color="000000" w:sz="4" w:space="0"/>
            </w:tcBorders>
          </w:tcPr>
          <w:p w14:paraId="23A7D13C">
            <w:pPr>
              <w:pStyle w:val="184"/>
            </w:pPr>
          </w:p>
        </w:tc>
      </w:tr>
      <w:tr w14:paraId="523B7D19">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F03A171">
            <w:pPr>
              <w:pStyle w:val="184"/>
            </w:pPr>
            <w:r>
              <w:t xml:space="preserve">8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49555F5D">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6B38619A">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6D054395">
            <w:pPr>
              <w:pStyle w:val="184"/>
            </w:pPr>
            <w:r>
              <w:t>绝缘强度测试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7DFEA808">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2D813351">
            <w:pPr>
              <w:pStyle w:val="184"/>
            </w:pPr>
            <w:r>
              <w:rPr>
                <w:rFonts w:hint="eastAsia"/>
              </w:rPr>
              <w:t>√</w:t>
            </w:r>
          </w:p>
        </w:tc>
        <w:tc>
          <w:tcPr>
            <w:tcW w:w="627" w:type="pct"/>
            <w:tcBorders>
              <w:top w:val="single" w:color="000000" w:sz="4" w:space="0"/>
              <w:left w:val="single" w:color="000000" w:sz="4" w:space="0"/>
              <w:bottom w:val="single" w:color="000000" w:sz="4" w:space="0"/>
              <w:right w:val="single" w:color="000000" w:sz="4" w:space="0"/>
            </w:tcBorders>
          </w:tcPr>
          <w:p w14:paraId="509A805E">
            <w:pPr>
              <w:pStyle w:val="184"/>
            </w:pPr>
          </w:p>
        </w:tc>
      </w:tr>
      <w:tr w14:paraId="73A90AFE">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F3B17F3">
            <w:pPr>
              <w:pStyle w:val="184"/>
            </w:pPr>
            <w:r>
              <w:t xml:space="preserve">9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2912A663">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4B85E706">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6AFCC0D2">
            <w:pPr>
              <w:pStyle w:val="184"/>
            </w:pPr>
            <w:r>
              <w:t>局部放电测试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7D7E2ADA">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6C3EE30E">
            <w:pPr>
              <w:pStyle w:val="184"/>
            </w:pPr>
          </w:p>
        </w:tc>
        <w:tc>
          <w:tcPr>
            <w:tcW w:w="627" w:type="pct"/>
            <w:tcBorders>
              <w:top w:val="single" w:color="000000" w:sz="4" w:space="0"/>
              <w:left w:val="single" w:color="000000" w:sz="4" w:space="0"/>
              <w:bottom w:val="single" w:color="000000" w:sz="4" w:space="0"/>
              <w:right w:val="single" w:color="000000" w:sz="4" w:space="0"/>
            </w:tcBorders>
          </w:tcPr>
          <w:p w14:paraId="439985A6">
            <w:pPr>
              <w:pStyle w:val="184"/>
            </w:pPr>
          </w:p>
        </w:tc>
      </w:tr>
      <w:tr w14:paraId="76E812F7">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7179C5F">
            <w:pPr>
              <w:pStyle w:val="184"/>
            </w:pPr>
            <w:r>
              <w:t xml:space="preserve">10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1FD6CA25">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0E15BAEC">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72B09C2A">
            <w:pPr>
              <w:pStyle w:val="184"/>
            </w:pPr>
            <w:r>
              <w:t>接触电流测试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7C63EC71">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072AE8D">
            <w:pPr>
              <w:pStyle w:val="184"/>
            </w:pPr>
          </w:p>
        </w:tc>
        <w:tc>
          <w:tcPr>
            <w:tcW w:w="627" w:type="pct"/>
            <w:tcBorders>
              <w:top w:val="single" w:color="000000" w:sz="4" w:space="0"/>
              <w:left w:val="single" w:color="000000" w:sz="4" w:space="0"/>
              <w:bottom w:val="single" w:color="000000" w:sz="4" w:space="0"/>
              <w:right w:val="single" w:color="000000" w:sz="4" w:space="0"/>
            </w:tcBorders>
          </w:tcPr>
          <w:p w14:paraId="6A9F28AB">
            <w:pPr>
              <w:pStyle w:val="184"/>
            </w:pPr>
          </w:p>
        </w:tc>
      </w:tr>
      <w:tr w14:paraId="08E2649B">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02C8EAF">
            <w:pPr>
              <w:pStyle w:val="184"/>
            </w:pPr>
            <w:r>
              <w:t xml:space="preserve">11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086A9A48">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7CAD734D">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252D4530">
            <w:pPr>
              <w:pStyle w:val="184"/>
            </w:pPr>
            <w:r>
              <w:t>脉冲电压测试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54C411C9">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00EB3393">
            <w:pPr>
              <w:pStyle w:val="184"/>
            </w:pPr>
          </w:p>
        </w:tc>
        <w:tc>
          <w:tcPr>
            <w:tcW w:w="627" w:type="pct"/>
            <w:tcBorders>
              <w:top w:val="single" w:color="000000" w:sz="4" w:space="0"/>
              <w:left w:val="single" w:color="000000" w:sz="4" w:space="0"/>
              <w:bottom w:val="single" w:color="000000" w:sz="4" w:space="0"/>
              <w:right w:val="single" w:color="000000" w:sz="4" w:space="0"/>
            </w:tcBorders>
          </w:tcPr>
          <w:p w14:paraId="5A2642ED">
            <w:pPr>
              <w:pStyle w:val="184"/>
            </w:pPr>
          </w:p>
        </w:tc>
      </w:tr>
      <w:tr w14:paraId="79054B18">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03A3977">
            <w:pPr>
              <w:pStyle w:val="184"/>
            </w:pPr>
            <w:r>
              <w:t xml:space="preserve">12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04BB7C0D">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2792AEE7">
            <w:pPr>
              <w:pStyle w:val="184"/>
            </w:pPr>
            <w:r>
              <w:t>存储电荷放电测试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414CA5E4">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3484EABB">
            <w:pPr>
              <w:pStyle w:val="184"/>
            </w:pPr>
          </w:p>
        </w:tc>
        <w:tc>
          <w:tcPr>
            <w:tcW w:w="627" w:type="pct"/>
            <w:tcBorders>
              <w:top w:val="single" w:color="000000" w:sz="4" w:space="0"/>
              <w:left w:val="single" w:color="000000" w:sz="4" w:space="0"/>
              <w:bottom w:val="single" w:color="000000" w:sz="4" w:space="0"/>
              <w:right w:val="single" w:color="000000" w:sz="4" w:space="0"/>
            </w:tcBorders>
          </w:tcPr>
          <w:p w14:paraId="6A2DC5AC">
            <w:pPr>
              <w:pStyle w:val="184"/>
            </w:pPr>
          </w:p>
        </w:tc>
      </w:tr>
      <w:tr w14:paraId="43F2B993">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5B1EE256">
            <w:pPr>
              <w:pStyle w:val="184"/>
            </w:pPr>
            <w:r>
              <w:t xml:space="preserve">13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4ADDD894">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3BCA8FB7">
            <w:pPr>
              <w:pStyle w:val="184"/>
            </w:pPr>
            <w:r>
              <w:t>温升测试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64F8332C">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0D01B11">
            <w:pPr>
              <w:pStyle w:val="184"/>
            </w:pPr>
          </w:p>
        </w:tc>
        <w:tc>
          <w:tcPr>
            <w:tcW w:w="627" w:type="pct"/>
            <w:tcBorders>
              <w:top w:val="single" w:color="000000" w:sz="4" w:space="0"/>
              <w:left w:val="single" w:color="000000" w:sz="4" w:space="0"/>
              <w:bottom w:val="single" w:color="000000" w:sz="4" w:space="0"/>
              <w:right w:val="single" w:color="000000" w:sz="4" w:space="0"/>
            </w:tcBorders>
          </w:tcPr>
          <w:p w14:paraId="6AAB2D38">
            <w:pPr>
              <w:pStyle w:val="184"/>
            </w:pPr>
          </w:p>
        </w:tc>
      </w:tr>
      <w:tr w14:paraId="365BCFF3">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51C61C62">
            <w:pPr>
              <w:pStyle w:val="184"/>
            </w:pPr>
            <w:r>
              <w:t xml:space="preserve">14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383BCF97">
            <w:pPr>
              <w:pStyle w:val="184"/>
            </w:pPr>
          </w:p>
        </w:tc>
        <w:tc>
          <w:tcPr>
            <w:tcW w:w="626" w:type="pct"/>
            <w:vMerge w:val="restart"/>
            <w:tcBorders>
              <w:top w:val="single" w:color="000000" w:sz="4" w:space="0"/>
              <w:left w:val="single" w:color="000000" w:sz="4" w:space="0"/>
              <w:bottom w:val="single" w:color="000000" w:sz="4" w:space="0"/>
              <w:right w:val="single" w:color="000000" w:sz="4" w:space="0"/>
            </w:tcBorders>
            <w:vAlign w:val="center"/>
          </w:tcPr>
          <w:p w14:paraId="6997B496">
            <w:pPr>
              <w:pStyle w:val="184"/>
            </w:pPr>
            <w:r>
              <w:t>机械防护</w:t>
            </w:r>
          </w:p>
        </w:tc>
        <w:tc>
          <w:tcPr>
            <w:tcW w:w="1353" w:type="pct"/>
            <w:tcBorders>
              <w:top w:val="single" w:color="000000" w:sz="4" w:space="0"/>
              <w:left w:val="single" w:color="000000" w:sz="4" w:space="0"/>
              <w:bottom w:val="single" w:color="000000" w:sz="4" w:space="0"/>
              <w:right w:val="single" w:color="000000" w:sz="4" w:space="0"/>
            </w:tcBorders>
            <w:vAlign w:val="center"/>
          </w:tcPr>
          <w:p w14:paraId="7BF7CB6F">
            <w:pPr>
              <w:pStyle w:val="184"/>
            </w:pPr>
            <w:r>
              <w:t>稳定性测试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6C446592">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16F982CF">
            <w:pPr>
              <w:pStyle w:val="184"/>
            </w:pPr>
          </w:p>
        </w:tc>
        <w:tc>
          <w:tcPr>
            <w:tcW w:w="627" w:type="pct"/>
            <w:tcBorders>
              <w:top w:val="single" w:color="000000" w:sz="4" w:space="0"/>
              <w:left w:val="single" w:color="000000" w:sz="4" w:space="0"/>
              <w:bottom w:val="single" w:color="000000" w:sz="4" w:space="0"/>
              <w:right w:val="single" w:color="000000" w:sz="4" w:space="0"/>
            </w:tcBorders>
          </w:tcPr>
          <w:p w14:paraId="7D1C00E8">
            <w:pPr>
              <w:pStyle w:val="184"/>
            </w:pPr>
          </w:p>
        </w:tc>
      </w:tr>
      <w:tr w14:paraId="7EF7D349">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B4566EE">
            <w:pPr>
              <w:pStyle w:val="184"/>
            </w:pPr>
            <w:r>
              <w:t xml:space="preserve">15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308AA782">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5248E132">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50F41321">
            <w:pPr>
              <w:pStyle w:val="184"/>
            </w:pPr>
            <w:r>
              <w:t>搬运测试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3E8EBC45">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04D97065">
            <w:pPr>
              <w:pStyle w:val="184"/>
            </w:pPr>
          </w:p>
        </w:tc>
        <w:tc>
          <w:tcPr>
            <w:tcW w:w="627" w:type="pct"/>
            <w:tcBorders>
              <w:top w:val="single" w:color="000000" w:sz="4" w:space="0"/>
              <w:left w:val="single" w:color="000000" w:sz="4" w:space="0"/>
              <w:bottom w:val="single" w:color="000000" w:sz="4" w:space="0"/>
              <w:right w:val="single" w:color="000000" w:sz="4" w:space="0"/>
            </w:tcBorders>
          </w:tcPr>
          <w:p w14:paraId="24B9978D">
            <w:pPr>
              <w:pStyle w:val="184"/>
            </w:pPr>
          </w:p>
        </w:tc>
      </w:tr>
      <w:tr w14:paraId="4675F178">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04719A46">
            <w:pPr>
              <w:pStyle w:val="184"/>
            </w:pPr>
            <w:r>
              <w:t xml:space="preserve">16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1538218F">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256C3248">
            <w:pPr>
              <w:pStyle w:val="184"/>
            </w:pPr>
            <w:r>
              <w:t>短路保护测试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42D1CB00">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0565867C">
            <w:pPr>
              <w:pStyle w:val="184"/>
            </w:pPr>
          </w:p>
        </w:tc>
        <w:tc>
          <w:tcPr>
            <w:tcW w:w="627" w:type="pct"/>
            <w:tcBorders>
              <w:top w:val="single" w:color="000000" w:sz="4" w:space="0"/>
              <w:left w:val="single" w:color="000000" w:sz="4" w:space="0"/>
              <w:bottom w:val="single" w:color="000000" w:sz="4" w:space="0"/>
              <w:right w:val="single" w:color="000000" w:sz="4" w:space="0"/>
            </w:tcBorders>
          </w:tcPr>
          <w:p w14:paraId="22E50177">
            <w:pPr>
              <w:pStyle w:val="184"/>
            </w:pPr>
          </w:p>
        </w:tc>
      </w:tr>
      <w:tr w14:paraId="639BED2E">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5BD6E1F">
            <w:pPr>
              <w:pStyle w:val="184"/>
            </w:pPr>
            <w:r>
              <w:t xml:space="preserve">17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3F3679D2">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27EC4FF9">
            <w:pPr>
              <w:pStyle w:val="184"/>
            </w:pPr>
            <w:r>
              <w:t>噪声测试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2FC4BF67">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9EF91E2">
            <w:pPr>
              <w:pStyle w:val="184"/>
            </w:pPr>
          </w:p>
        </w:tc>
        <w:tc>
          <w:tcPr>
            <w:tcW w:w="627" w:type="pct"/>
            <w:tcBorders>
              <w:top w:val="single" w:color="000000" w:sz="4" w:space="0"/>
              <w:left w:val="single" w:color="000000" w:sz="4" w:space="0"/>
              <w:bottom w:val="single" w:color="000000" w:sz="4" w:space="0"/>
              <w:right w:val="single" w:color="000000" w:sz="4" w:space="0"/>
            </w:tcBorders>
          </w:tcPr>
          <w:p w14:paraId="66BC5F2B">
            <w:pPr>
              <w:pStyle w:val="184"/>
            </w:pPr>
          </w:p>
        </w:tc>
      </w:tr>
      <w:tr w14:paraId="55B724B5">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6FE6E183">
            <w:pPr>
              <w:pStyle w:val="184"/>
            </w:pPr>
            <w:r>
              <w:t xml:space="preserve">18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07665CB3">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7CFEE71C">
            <w:pPr>
              <w:pStyle w:val="184"/>
            </w:pPr>
            <w:r>
              <w:t>绝缘阻抗检测能力测试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59F52431">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C7A51EE">
            <w:pPr>
              <w:pStyle w:val="184"/>
            </w:pPr>
          </w:p>
        </w:tc>
        <w:tc>
          <w:tcPr>
            <w:tcW w:w="627" w:type="pct"/>
            <w:tcBorders>
              <w:top w:val="single" w:color="000000" w:sz="4" w:space="0"/>
              <w:left w:val="single" w:color="000000" w:sz="4" w:space="0"/>
              <w:bottom w:val="single" w:color="000000" w:sz="4" w:space="0"/>
              <w:right w:val="single" w:color="000000" w:sz="4" w:space="0"/>
            </w:tcBorders>
          </w:tcPr>
          <w:p w14:paraId="6BA5E10A">
            <w:pPr>
              <w:pStyle w:val="184"/>
            </w:pPr>
          </w:p>
        </w:tc>
      </w:tr>
      <w:tr w14:paraId="301B73E1">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6E081921">
            <w:pPr>
              <w:pStyle w:val="184"/>
            </w:pPr>
            <w:r>
              <w:t xml:space="preserve">19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47B8FDF9">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1EF42462">
            <w:pPr>
              <w:pStyle w:val="184"/>
            </w:pPr>
            <w:r>
              <w:t>残余电流检测能力测试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17247ECC">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6E211E9D">
            <w:pPr>
              <w:pStyle w:val="184"/>
            </w:pPr>
          </w:p>
        </w:tc>
        <w:tc>
          <w:tcPr>
            <w:tcW w:w="627" w:type="pct"/>
            <w:tcBorders>
              <w:top w:val="single" w:color="000000" w:sz="4" w:space="0"/>
              <w:left w:val="single" w:color="000000" w:sz="4" w:space="0"/>
              <w:bottom w:val="single" w:color="000000" w:sz="4" w:space="0"/>
              <w:right w:val="single" w:color="000000" w:sz="4" w:space="0"/>
            </w:tcBorders>
          </w:tcPr>
          <w:p w14:paraId="07A06A52">
            <w:pPr>
              <w:pStyle w:val="184"/>
            </w:pPr>
          </w:p>
        </w:tc>
      </w:tr>
      <w:tr w14:paraId="42BF90DA">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28393909">
            <w:pPr>
              <w:pStyle w:val="184"/>
            </w:pPr>
            <w:r>
              <w:t xml:space="preserve">20 </w:t>
            </w:r>
          </w:p>
        </w:tc>
        <w:tc>
          <w:tcPr>
            <w:tcW w:w="747" w:type="pct"/>
            <w:vMerge w:val="restart"/>
            <w:tcBorders>
              <w:top w:val="single" w:color="000000" w:sz="4" w:space="0"/>
              <w:left w:val="single" w:color="000000" w:sz="4" w:space="0"/>
              <w:bottom w:val="single" w:color="000000" w:sz="4" w:space="0"/>
              <w:right w:val="single" w:color="000000" w:sz="4" w:space="0"/>
            </w:tcBorders>
            <w:vAlign w:val="center"/>
          </w:tcPr>
          <w:p w14:paraId="364DCDE2">
            <w:pPr>
              <w:pStyle w:val="184"/>
            </w:pPr>
            <w:r>
              <w:t>并网性能</w:t>
            </w:r>
          </w:p>
        </w:tc>
        <w:tc>
          <w:tcPr>
            <w:tcW w:w="626" w:type="pct"/>
            <w:vMerge w:val="restart"/>
            <w:tcBorders>
              <w:top w:val="single" w:color="000000" w:sz="4" w:space="0"/>
              <w:left w:val="single" w:color="000000" w:sz="4" w:space="0"/>
              <w:bottom w:val="single" w:color="000000" w:sz="4" w:space="0"/>
              <w:right w:val="single" w:color="000000" w:sz="4" w:space="0"/>
            </w:tcBorders>
            <w:vAlign w:val="center"/>
          </w:tcPr>
          <w:p w14:paraId="61E0391B">
            <w:pPr>
              <w:pStyle w:val="184"/>
              <w:rPr>
                <w:highlight w:val="none"/>
              </w:rPr>
            </w:pPr>
            <w:r>
              <w:rPr>
                <w:highlight w:val="none"/>
              </w:rPr>
              <w:t>有功功率</w:t>
            </w:r>
          </w:p>
        </w:tc>
        <w:tc>
          <w:tcPr>
            <w:tcW w:w="1353" w:type="pct"/>
            <w:tcBorders>
              <w:top w:val="single" w:color="000000" w:sz="4" w:space="0"/>
              <w:left w:val="single" w:color="000000" w:sz="4" w:space="0"/>
              <w:bottom w:val="single" w:color="000000" w:sz="4" w:space="0"/>
              <w:right w:val="single" w:color="000000" w:sz="4" w:space="0"/>
            </w:tcBorders>
            <w:vAlign w:val="center"/>
          </w:tcPr>
          <w:p w14:paraId="71FBB120">
            <w:pPr>
              <w:pStyle w:val="184"/>
              <w:rPr>
                <w:highlight w:val="none"/>
              </w:rPr>
            </w:pPr>
            <w:r>
              <w:rPr>
                <w:highlight w:val="none"/>
              </w:rPr>
              <w:t>有功功率容量</w:t>
            </w:r>
          </w:p>
        </w:tc>
        <w:tc>
          <w:tcPr>
            <w:tcW w:w="629" w:type="pct"/>
            <w:tcBorders>
              <w:top w:val="single" w:color="000000" w:sz="4" w:space="0"/>
              <w:left w:val="single" w:color="000000" w:sz="4" w:space="0"/>
              <w:bottom w:val="single" w:color="000000" w:sz="4" w:space="0"/>
              <w:right w:val="single" w:color="000000" w:sz="4" w:space="0"/>
            </w:tcBorders>
            <w:vAlign w:val="center"/>
          </w:tcPr>
          <w:p w14:paraId="5FC6FD2D">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6FEB9E8E">
            <w:pPr>
              <w:pStyle w:val="184"/>
            </w:pPr>
          </w:p>
        </w:tc>
        <w:tc>
          <w:tcPr>
            <w:tcW w:w="627" w:type="pct"/>
            <w:tcBorders>
              <w:top w:val="single" w:color="000000" w:sz="4" w:space="0"/>
              <w:left w:val="single" w:color="000000" w:sz="4" w:space="0"/>
              <w:bottom w:val="single" w:color="000000" w:sz="4" w:space="0"/>
              <w:right w:val="single" w:color="000000" w:sz="4" w:space="0"/>
            </w:tcBorders>
          </w:tcPr>
          <w:p w14:paraId="3D2EAD6A">
            <w:pPr>
              <w:pStyle w:val="184"/>
            </w:pPr>
          </w:p>
        </w:tc>
      </w:tr>
      <w:tr w14:paraId="04579C4C">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A24D0C3">
            <w:pPr>
              <w:pStyle w:val="184"/>
            </w:pPr>
            <w:r>
              <w:t xml:space="preserve">21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0169B351">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4F10E22C">
            <w:pPr>
              <w:pStyle w:val="184"/>
              <w:rPr>
                <w:highlight w:val="none"/>
              </w:rPr>
            </w:pPr>
          </w:p>
        </w:tc>
        <w:tc>
          <w:tcPr>
            <w:tcW w:w="1353" w:type="pct"/>
            <w:tcBorders>
              <w:top w:val="single" w:color="000000" w:sz="4" w:space="0"/>
              <w:left w:val="single" w:color="000000" w:sz="4" w:space="0"/>
              <w:bottom w:val="single" w:color="000000" w:sz="4" w:space="0"/>
              <w:right w:val="single" w:color="000000" w:sz="4" w:space="0"/>
            </w:tcBorders>
            <w:vAlign w:val="center"/>
          </w:tcPr>
          <w:p w14:paraId="55C19138">
            <w:pPr>
              <w:pStyle w:val="184"/>
              <w:rPr>
                <w:highlight w:val="none"/>
              </w:rPr>
            </w:pPr>
            <w:r>
              <w:rPr>
                <w:highlight w:val="none"/>
              </w:rPr>
              <w:t>给定值控制</w:t>
            </w:r>
          </w:p>
        </w:tc>
        <w:tc>
          <w:tcPr>
            <w:tcW w:w="629" w:type="pct"/>
            <w:tcBorders>
              <w:top w:val="single" w:color="000000" w:sz="4" w:space="0"/>
              <w:left w:val="single" w:color="000000" w:sz="4" w:space="0"/>
              <w:bottom w:val="single" w:color="000000" w:sz="4" w:space="0"/>
              <w:right w:val="single" w:color="000000" w:sz="4" w:space="0"/>
            </w:tcBorders>
            <w:vAlign w:val="center"/>
          </w:tcPr>
          <w:p w14:paraId="7DECF179">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05F8B0E3">
            <w:pPr>
              <w:pStyle w:val="184"/>
            </w:pPr>
            <w:r>
              <w:t>√</w:t>
            </w:r>
          </w:p>
        </w:tc>
        <w:tc>
          <w:tcPr>
            <w:tcW w:w="627" w:type="pct"/>
            <w:tcBorders>
              <w:top w:val="single" w:color="000000" w:sz="4" w:space="0"/>
              <w:left w:val="single" w:color="000000" w:sz="4" w:space="0"/>
              <w:bottom w:val="single" w:color="000000" w:sz="4" w:space="0"/>
              <w:right w:val="single" w:color="000000" w:sz="4" w:space="0"/>
            </w:tcBorders>
          </w:tcPr>
          <w:p w14:paraId="30A6A6BE">
            <w:pPr>
              <w:pStyle w:val="184"/>
            </w:pPr>
          </w:p>
        </w:tc>
      </w:tr>
      <w:tr w14:paraId="01375CFD">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013B7D9">
            <w:pPr>
              <w:pStyle w:val="184"/>
            </w:pPr>
            <w:r>
              <w:t xml:space="preserve">22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F80C80F">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0A87EB8D">
            <w:pPr>
              <w:pStyle w:val="184"/>
              <w:rPr>
                <w:highlight w:val="none"/>
              </w:rPr>
            </w:pPr>
          </w:p>
        </w:tc>
        <w:tc>
          <w:tcPr>
            <w:tcW w:w="1353" w:type="pct"/>
            <w:tcBorders>
              <w:top w:val="single" w:color="000000" w:sz="4" w:space="0"/>
              <w:left w:val="single" w:color="000000" w:sz="4" w:space="0"/>
              <w:bottom w:val="single" w:color="000000" w:sz="4" w:space="0"/>
              <w:right w:val="single" w:color="000000" w:sz="4" w:space="0"/>
            </w:tcBorders>
            <w:vAlign w:val="center"/>
          </w:tcPr>
          <w:p w14:paraId="1B643CB1">
            <w:pPr>
              <w:pStyle w:val="184"/>
              <w:rPr>
                <w:highlight w:val="none"/>
              </w:rPr>
            </w:pPr>
            <w:r>
              <w:rPr>
                <w:highlight w:val="none"/>
              </w:rPr>
              <w:t>启停机变化率控制</w:t>
            </w:r>
          </w:p>
        </w:tc>
        <w:tc>
          <w:tcPr>
            <w:tcW w:w="629" w:type="pct"/>
            <w:tcBorders>
              <w:top w:val="single" w:color="000000" w:sz="4" w:space="0"/>
              <w:left w:val="single" w:color="000000" w:sz="4" w:space="0"/>
              <w:bottom w:val="single" w:color="000000" w:sz="4" w:space="0"/>
              <w:right w:val="single" w:color="000000" w:sz="4" w:space="0"/>
            </w:tcBorders>
            <w:vAlign w:val="center"/>
          </w:tcPr>
          <w:p w14:paraId="6F791C2D">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143AEE4D">
            <w:pPr>
              <w:pStyle w:val="184"/>
            </w:pPr>
            <w:r>
              <w:t>√</w:t>
            </w:r>
          </w:p>
        </w:tc>
        <w:tc>
          <w:tcPr>
            <w:tcW w:w="627" w:type="pct"/>
            <w:tcBorders>
              <w:top w:val="single" w:color="000000" w:sz="4" w:space="0"/>
              <w:left w:val="single" w:color="000000" w:sz="4" w:space="0"/>
              <w:bottom w:val="single" w:color="000000" w:sz="4" w:space="0"/>
              <w:right w:val="single" w:color="000000" w:sz="4" w:space="0"/>
            </w:tcBorders>
          </w:tcPr>
          <w:p w14:paraId="33D4AE81">
            <w:pPr>
              <w:pStyle w:val="184"/>
            </w:pPr>
          </w:p>
        </w:tc>
      </w:tr>
      <w:tr w14:paraId="426C2FE0">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3F70C62">
            <w:pPr>
              <w:pStyle w:val="184"/>
            </w:pPr>
            <w:r>
              <w:t xml:space="preserve">23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7A2E776">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3F9699B2">
            <w:pPr>
              <w:pStyle w:val="184"/>
              <w:rPr>
                <w:highlight w:val="none"/>
              </w:rPr>
            </w:pPr>
          </w:p>
        </w:tc>
        <w:tc>
          <w:tcPr>
            <w:tcW w:w="1353" w:type="pct"/>
            <w:tcBorders>
              <w:top w:val="single" w:color="000000" w:sz="4" w:space="0"/>
              <w:left w:val="single" w:color="000000" w:sz="4" w:space="0"/>
              <w:bottom w:val="single" w:color="000000" w:sz="4" w:space="0"/>
              <w:right w:val="single" w:color="000000" w:sz="4" w:space="0"/>
            </w:tcBorders>
            <w:vAlign w:val="center"/>
          </w:tcPr>
          <w:p w14:paraId="0F931703">
            <w:pPr>
              <w:pStyle w:val="184"/>
              <w:rPr>
                <w:highlight w:val="none"/>
              </w:rPr>
            </w:pPr>
            <w:r>
              <w:rPr>
                <w:highlight w:val="none"/>
              </w:rPr>
              <w:t>一次调频控制(如适用)</w:t>
            </w:r>
          </w:p>
        </w:tc>
        <w:tc>
          <w:tcPr>
            <w:tcW w:w="629" w:type="pct"/>
            <w:tcBorders>
              <w:top w:val="single" w:color="000000" w:sz="4" w:space="0"/>
              <w:left w:val="single" w:color="000000" w:sz="4" w:space="0"/>
              <w:bottom w:val="single" w:color="000000" w:sz="4" w:space="0"/>
              <w:right w:val="single" w:color="000000" w:sz="4" w:space="0"/>
            </w:tcBorders>
            <w:vAlign w:val="center"/>
          </w:tcPr>
          <w:p w14:paraId="18E67D4C">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5D6190B8">
            <w:pPr>
              <w:pStyle w:val="184"/>
            </w:pPr>
          </w:p>
        </w:tc>
        <w:tc>
          <w:tcPr>
            <w:tcW w:w="627" w:type="pct"/>
            <w:tcBorders>
              <w:top w:val="single" w:color="000000" w:sz="4" w:space="0"/>
              <w:left w:val="single" w:color="000000" w:sz="4" w:space="0"/>
              <w:bottom w:val="single" w:color="000000" w:sz="4" w:space="0"/>
              <w:right w:val="single" w:color="000000" w:sz="4" w:space="0"/>
            </w:tcBorders>
          </w:tcPr>
          <w:p w14:paraId="02F9C0F5">
            <w:pPr>
              <w:pStyle w:val="184"/>
            </w:pPr>
          </w:p>
        </w:tc>
      </w:tr>
      <w:tr w14:paraId="1C502C03">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B75790C">
            <w:pPr>
              <w:pStyle w:val="184"/>
            </w:pPr>
            <w:r>
              <w:t xml:space="preserve">24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4B19593">
            <w:pPr>
              <w:pStyle w:val="184"/>
            </w:pPr>
          </w:p>
        </w:tc>
        <w:tc>
          <w:tcPr>
            <w:tcW w:w="626" w:type="pct"/>
            <w:vMerge w:val="restart"/>
            <w:tcBorders>
              <w:top w:val="single" w:color="000000" w:sz="4" w:space="0"/>
              <w:left w:val="single" w:color="000000" w:sz="4" w:space="0"/>
              <w:bottom w:val="single" w:color="000000" w:sz="4" w:space="0"/>
              <w:right w:val="single" w:color="000000" w:sz="4" w:space="0"/>
            </w:tcBorders>
            <w:vAlign w:val="center"/>
          </w:tcPr>
          <w:p w14:paraId="5BC42EE6">
            <w:pPr>
              <w:pStyle w:val="184"/>
            </w:pPr>
            <w:r>
              <w:t>无功功率</w:t>
            </w:r>
          </w:p>
        </w:tc>
        <w:tc>
          <w:tcPr>
            <w:tcW w:w="1353" w:type="pct"/>
            <w:tcBorders>
              <w:top w:val="single" w:color="000000" w:sz="4" w:space="0"/>
              <w:left w:val="single" w:color="000000" w:sz="4" w:space="0"/>
              <w:bottom w:val="single" w:color="000000" w:sz="4" w:space="0"/>
              <w:right w:val="single" w:color="000000" w:sz="4" w:space="0"/>
            </w:tcBorders>
            <w:vAlign w:val="center"/>
          </w:tcPr>
          <w:p w14:paraId="10480932">
            <w:pPr>
              <w:pStyle w:val="184"/>
            </w:pPr>
            <w:r>
              <w:t>无功功率容量</w:t>
            </w:r>
          </w:p>
        </w:tc>
        <w:tc>
          <w:tcPr>
            <w:tcW w:w="629" w:type="pct"/>
            <w:tcBorders>
              <w:top w:val="single" w:color="000000" w:sz="4" w:space="0"/>
              <w:left w:val="single" w:color="000000" w:sz="4" w:space="0"/>
              <w:bottom w:val="single" w:color="000000" w:sz="4" w:space="0"/>
              <w:right w:val="single" w:color="000000" w:sz="4" w:space="0"/>
            </w:tcBorders>
            <w:vAlign w:val="center"/>
          </w:tcPr>
          <w:p w14:paraId="36957C43">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1FCCD98E">
            <w:pPr>
              <w:pStyle w:val="184"/>
            </w:pPr>
          </w:p>
        </w:tc>
        <w:tc>
          <w:tcPr>
            <w:tcW w:w="627" w:type="pct"/>
            <w:tcBorders>
              <w:top w:val="single" w:color="000000" w:sz="4" w:space="0"/>
              <w:left w:val="single" w:color="000000" w:sz="4" w:space="0"/>
              <w:bottom w:val="single" w:color="000000" w:sz="4" w:space="0"/>
              <w:right w:val="single" w:color="000000" w:sz="4" w:space="0"/>
            </w:tcBorders>
          </w:tcPr>
          <w:p w14:paraId="10C2CD71">
            <w:pPr>
              <w:pStyle w:val="184"/>
            </w:pPr>
          </w:p>
        </w:tc>
      </w:tr>
      <w:tr w14:paraId="2E6A77DA">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AB53F43">
            <w:pPr>
              <w:pStyle w:val="184"/>
            </w:pPr>
            <w:r>
              <w:t xml:space="preserve">25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2648D4D1">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531929D8">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07672E18">
            <w:pPr>
              <w:pStyle w:val="184"/>
            </w:pPr>
            <w:r>
              <w:t>无功功率控制</w:t>
            </w:r>
          </w:p>
        </w:tc>
        <w:tc>
          <w:tcPr>
            <w:tcW w:w="629" w:type="pct"/>
            <w:tcBorders>
              <w:top w:val="single" w:color="000000" w:sz="4" w:space="0"/>
              <w:left w:val="single" w:color="000000" w:sz="4" w:space="0"/>
              <w:bottom w:val="single" w:color="000000" w:sz="4" w:space="0"/>
              <w:right w:val="single" w:color="000000" w:sz="4" w:space="0"/>
            </w:tcBorders>
            <w:vAlign w:val="center"/>
          </w:tcPr>
          <w:p w14:paraId="1C601468">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CFB8A69">
            <w:pPr>
              <w:pStyle w:val="184"/>
            </w:pPr>
          </w:p>
        </w:tc>
        <w:tc>
          <w:tcPr>
            <w:tcW w:w="627" w:type="pct"/>
            <w:tcBorders>
              <w:top w:val="single" w:color="000000" w:sz="4" w:space="0"/>
              <w:left w:val="single" w:color="000000" w:sz="4" w:space="0"/>
              <w:bottom w:val="single" w:color="000000" w:sz="4" w:space="0"/>
              <w:right w:val="single" w:color="000000" w:sz="4" w:space="0"/>
            </w:tcBorders>
          </w:tcPr>
          <w:p w14:paraId="48F9B390">
            <w:pPr>
              <w:pStyle w:val="184"/>
            </w:pPr>
          </w:p>
        </w:tc>
      </w:tr>
      <w:tr w14:paraId="638723D6">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584A62F">
            <w:pPr>
              <w:pStyle w:val="184"/>
            </w:pPr>
            <w:r>
              <w:t xml:space="preserve">26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0CE83790">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43A844A9">
            <w:pPr>
              <w:pStyle w:val="184"/>
            </w:pPr>
            <w:r>
              <w:rPr>
                <w:highlight w:val="none"/>
                <w:shd w:val="clear"/>
              </w:rPr>
              <w:t>电能质量</w:t>
            </w:r>
          </w:p>
        </w:tc>
        <w:tc>
          <w:tcPr>
            <w:tcW w:w="629" w:type="pct"/>
            <w:tcBorders>
              <w:top w:val="single" w:color="000000" w:sz="4" w:space="0"/>
              <w:left w:val="single" w:color="000000" w:sz="4" w:space="0"/>
              <w:bottom w:val="single" w:color="000000" w:sz="4" w:space="0"/>
              <w:right w:val="single" w:color="000000" w:sz="4" w:space="0"/>
            </w:tcBorders>
            <w:vAlign w:val="center"/>
          </w:tcPr>
          <w:p w14:paraId="295EEDD3">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39D676BE">
            <w:pPr>
              <w:pStyle w:val="184"/>
            </w:pPr>
          </w:p>
        </w:tc>
        <w:tc>
          <w:tcPr>
            <w:tcW w:w="627" w:type="pct"/>
            <w:tcBorders>
              <w:top w:val="single" w:color="000000" w:sz="4" w:space="0"/>
              <w:left w:val="single" w:color="000000" w:sz="4" w:space="0"/>
              <w:bottom w:val="single" w:color="000000" w:sz="4" w:space="0"/>
              <w:right w:val="single" w:color="000000" w:sz="4" w:space="0"/>
            </w:tcBorders>
            <w:vAlign w:val="center"/>
          </w:tcPr>
          <w:p w14:paraId="73962E9D">
            <w:pPr>
              <w:pStyle w:val="184"/>
            </w:pPr>
            <w:r>
              <w:t>√</w:t>
            </w:r>
          </w:p>
        </w:tc>
      </w:tr>
      <w:tr w14:paraId="0F66EAA0">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5276AAAC">
            <w:pPr>
              <w:pStyle w:val="184"/>
            </w:pPr>
            <w:r>
              <w:t xml:space="preserve">27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2D7E71D6">
            <w:pPr>
              <w:pStyle w:val="184"/>
            </w:pPr>
          </w:p>
        </w:tc>
        <w:tc>
          <w:tcPr>
            <w:tcW w:w="626" w:type="pct"/>
            <w:vMerge w:val="restart"/>
            <w:tcBorders>
              <w:top w:val="single" w:color="000000" w:sz="4" w:space="0"/>
              <w:left w:val="single" w:color="000000" w:sz="4" w:space="0"/>
              <w:bottom w:val="single" w:color="000000" w:sz="4" w:space="0"/>
              <w:right w:val="single" w:color="000000" w:sz="4" w:space="0"/>
            </w:tcBorders>
            <w:vAlign w:val="center"/>
          </w:tcPr>
          <w:p w14:paraId="66E1E10D">
            <w:pPr>
              <w:pStyle w:val="184"/>
            </w:pPr>
            <w:r>
              <w:t>故障穿越</w:t>
            </w:r>
          </w:p>
        </w:tc>
        <w:tc>
          <w:tcPr>
            <w:tcW w:w="1353" w:type="pct"/>
            <w:tcBorders>
              <w:top w:val="single" w:color="000000" w:sz="4" w:space="0"/>
              <w:left w:val="single" w:color="000000" w:sz="4" w:space="0"/>
              <w:bottom w:val="single" w:color="000000" w:sz="4" w:space="0"/>
              <w:right w:val="single" w:color="000000" w:sz="4" w:space="0"/>
            </w:tcBorders>
            <w:vAlign w:val="center"/>
          </w:tcPr>
          <w:p w14:paraId="0283A66A">
            <w:pPr>
              <w:pStyle w:val="184"/>
            </w:pPr>
            <w:r>
              <w:t>低电压穿越</w:t>
            </w:r>
          </w:p>
        </w:tc>
        <w:tc>
          <w:tcPr>
            <w:tcW w:w="629" w:type="pct"/>
            <w:tcBorders>
              <w:top w:val="single" w:color="000000" w:sz="4" w:space="0"/>
              <w:left w:val="single" w:color="000000" w:sz="4" w:space="0"/>
              <w:bottom w:val="single" w:color="000000" w:sz="4" w:space="0"/>
              <w:right w:val="single" w:color="000000" w:sz="4" w:space="0"/>
            </w:tcBorders>
            <w:vAlign w:val="center"/>
          </w:tcPr>
          <w:p w14:paraId="0F93D932">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36001ED8">
            <w:pPr>
              <w:pStyle w:val="184"/>
            </w:pPr>
          </w:p>
        </w:tc>
        <w:tc>
          <w:tcPr>
            <w:tcW w:w="627" w:type="pct"/>
            <w:tcBorders>
              <w:top w:val="single" w:color="000000" w:sz="4" w:space="0"/>
              <w:left w:val="single" w:color="000000" w:sz="4" w:space="0"/>
              <w:bottom w:val="single" w:color="000000" w:sz="4" w:space="0"/>
              <w:right w:val="single" w:color="000000" w:sz="4" w:space="0"/>
            </w:tcBorders>
          </w:tcPr>
          <w:p w14:paraId="3DAC207B">
            <w:pPr>
              <w:pStyle w:val="184"/>
            </w:pPr>
          </w:p>
        </w:tc>
      </w:tr>
      <w:tr w14:paraId="751975F1">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A43AABA">
            <w:pPr>
              <w:pStyle w:val="184"/>
            </w:pPr>
            <w:r>
              <w:t xml:space="preserve">28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10F9A107">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53A33BF8">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38407C4D">
            <w:pPr>
              <w:pStyle w:val="184"/>
            </w:pPr>
            <w:r>
              <w:t>高电压穿越</w:t>
            </w:r>
          </w:p>
        </w:tc>
        <w:tc>
          <w:tcPr>
            <w:tcW w:w="629" w:type="pct"/>
            <w:tcBorders>
              <w:top w:val="single" w:color="000000" w:sz="4" w:space="0"/>
              <w:left w:val="single" w:color="000000" w:sz="4" w:space="0"/>
              <w:bottom w:val="single" w:color="000000" w:sz="4" w:space="0"/>
              <w:right w:val="single" w:color="000000" w:sz="4" w:space="0"/>
            </w:tcBorders>
            <w:vAlign w:val="center"/>
          </w:tcPr>
          <w:p w14:paraId="1CED5C55">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58FBF1DC">
            <w:pPr>
              <w:pStyle w:val="184"/>
            </w:pPr>
          </w:p>
        </w:tc>
        <w:tc>
          <w:tcPr>
            <w:tcW w:w="627" w:type="pct"/>
            <w:tcBorders>
              <w:top w:val="single" w:color="000000" w:sz="4" w:space="0"/>
              <w:left w:val="single" w:color="000000" w:sz="4" w:space="0"/>
              <w:bottom w:val="single" w:color="000000" w:sz="4" w:space="0"/>
              <w:right w:val="single" w:color="000000" w:sz="4" w:space="0"/>
            </w:tcBorders>
          </w:tcPr>
          <w:p w14:paraId="547A5B9D">
            <w:pPr>
              <w:pStyle w:val="184"/>
            </w:pPr>
          </w:p>
        </w:tc>
      </w:tr>
      <w:tr w14:paraId="072ED8FD">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6CCE8B92">
            <w:pPr>
              <w:pStyle w:val="184"/>
            </w:pPr>
            <w:r>
              <w:t xml:space="preserve">29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4ACD44F8">
            <w:pPr>
              <w:pStyle w:val="184"/>
            </w:pPr>
          </w:p>
        </w:tc>
        <w:tc>
          <w:tcPr>
            <w:tcW w:w="626" w:type="pct"/>
            <w:vMerge w:val="restart"/>
            <w:tcBorders>
              <w:top w:val="single" w:color="000000" w:sz="4" w:space="0"/>
              <w:left w:val="single" w:color="000000" w:sz="4" w:space="0"/>
              <w:bottom w:val="single" w:color="000000" w:sz="4" w:space="0"/>
              <w:right w:val="single" w:color="000000" w:sz="4" w:space="0"/>
            </w:tcBorders>
            <w:vAlign w:val="center"/>
          </w:tcPr>
          <w:p w14:paraId="3FDBAB58">
            <w:pPr>
              <w:pStyle w:val="184"/>
            </w:pPr>
            <w:r>
              <w:t>运行适应性</w:t>
            </w:r>
          </w:p>
        </w:tc>
        <w:tc>
          <w:tcPr>
            <w:tcW w:w="1353" w:type="pct"/>
            <w:tcBorders>
              <w:top w:val="single" w:color="000000" w:sz="4" w:space="0"/>
              <w:left w:val="single" w:color="000000" w:sz="4" w:space="0"/>
              <w:bottom w:val="single" w:color="000000" w:sz="4" w:space="0"/>
              <w:right w:val="single" w:color="000000" w:sz="4" w:space="0"/>
            </w:tcBorders>
            <w:vAlign w:val="center"/>
          </w:tcPr>
          <w:p w14:paraId="69493338">
            <w:pPr>
              <w:pStyle w:val="184"/>
            </w:pPr>
            <w:r>
              <w:t>电压适应性</w:t>
            </w:r>
          </w:p>
        </w:tc>
        <w:tc>
          <w:tcPr>
            <w:tcW w:w="629" w:type="pct"/>
            <w:tcBorders>
              <w:top w:val="single" w:color="000000" w:sz="4" w:space="0"/>
              <w:left w:val="single" w:color="000000" w:sz="4" w:space="0"/>
              <w:bottom w:val="single" w:color="000000" w:sz="4" w:space="0"/>
              <w:right w:val="single" w:color="000000" w:sz="4" w:space="0"/>
            </w:tcBorders>
            <w:vAlign w:val="center"/>
          </w:tcPr>
          <w:p w14:paraId="383EECE5">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6112E934">
            <w:pPr>
              <w:pStyle w:val="184"/>
            </w:pPr>
          </w:p>
        </w:tc>
        <w:tc>
          <w:tcPr>
            <w:tcW w:w="627" w:type="pct"/>
            <w:tcBorders>
              <w:top w:val="single" w:color="000000" w:sz="4" w:space="0"/>
              <w:left w:val="single" w:color="000000" w:sz="4" w:space="0"/>
              <w:bottom w:val="single" w:color="000000" w:sz="4" w:space="0"/>
              <w:right w:val="single" w:color="000000" w:sz="4" w:space="0"/>
            </w:tcBorders>
          </w:tcPr>
          <w:p w14:paraId="2D894BD4">
            <w:pPr>
              <w:pStyle w:val="184"/>
            </w:pPr>
          </w:p>
        </w:tc>
      </w:tr>
      <w:tr w14:paraId="7441BA5E">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2B4714A3">
            <w:pPr>
              <w:pStyle w:val="184"/>
            </w:pPr>
            <w:r>
              <w:t xml:space="preserve">30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60EF89EE">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608B4BB2">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5AE3DC81">
            <w:pPr>
              <w:pStyle w:val="184"/>
            </w:pPr>
            <w:r>
              <w:t>频率适应性</w:t>
            </w:r>
          </w:p>
        </w:tc>
        <w:tc>
          <w:tcPr>
            <w:tcW w:w="629" w:type="pct"/>
            <w:tcBorders>
              <w:top w:val="single" w:color="000000" w:sz="4" w:space="0"/>
              <w:left w:val="single" w:color="000000" w:sz="4" w:space="0"/>
              <w:bottom w:val="single" w:color="000000" w:sz="4" w:space="0"/>
              <w:right w:val="single" w:color="000000" w:sz="4" w:space="0"/>
            </w:tcBorders>
            <w:vAlign w:val="center"/>
          </w:tcPr>
          <w:p w14:paraId="728F2FD4">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7A2AD897">
            <w:pPr>
              <w:pStyle w:val="184"/>
            </w:pPr>
          </w:p>
        </w:tc>
        <w:tc>
          <w:tcPr>
            <w:tcW w:w="627" w:type="pct"/>
            <w:tcBorders>
              <w:top w:val="single" w:color="000000" w:sz="4" w:space="0"/>
              <w:left w:val="single" w:color="000000" w:sz="4" w:space="0"/>
              <w:bottom w:val="single" w:color="000000" w:sz="4" w:space="0"/>
              <w:right w:val="single" w:color="000000" w:sz="4" w:space="0"/>
            </w:tcBorders>
          </w:tcPr>
          <w:p w14:paraId="58C40D5E">
            <w:pPr>
              <w:pStyle w:val="184"/>
            </w:pPr>
          </w:p>
        </w:tc>
      </w:tr>
      <w:tr w14:paraId="5F3D24D0">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1897A595">
            <w:pPr>
              <w:pStyle w:val="184"/>
            </w:pPr>
            <w:r>
              <w:t xml:space="preserve">31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0CB7FB4E">
            <w:pPr>
              <w:pStyle w:val="184"/>
            </w:pPr>
          </w:p>
        </w:tc>
        <w:tc>
          <w:tcPr>
            <w:tcW w:w="626" w:type="pct"/>
            <w:vMerge w:val="continue"/>
            <w:tcBorders>
              <w:top w:val="single" w:color="000000" w:sz="4" w:space="0"/>
              <w:left w:val="single" w:color="000000" w:sz="4" w:space="0"/>
              <w:bottom w:val="single" w:color="000000" w:sz="4" w:space="0"/>
              <w:right w:val="single" w:color="000000" w:sz="4" w:space="0"/>
            </w:tcBorders>
            <w:vAlign w:val="center"/>
          </w:tcPr>
          <w:p w14:paraId="09309F54">
            <w:pPr>
              <w:pStyle w:val="184"/>
            </w:pPr>
          </w:p>
        </w:tc>
        <w:tc>
          <w:tcPr>
            <w:tcW w:w="1353" w:type="pct"/>
            <w:tcBorders>
              <w:top w:val="single" w:color="000000" w:sz="4" w:space="0"/>
              <w:left w:val="single" w:color="000000" w:sz="4" w:space="0"/>
              <w:bottom w:val="single" w:color="000000" w:sz="4" w:space="0"/>
              <w:right w:val="single" w:color="000000" w:sz="4" w:space="0"/>
            </w:tcBorders>
            <w:vAlign w:val="center"/>
          </w:tcPr>
          <w:p w14:paraId="295D11A3">
            <w:pPr>
              <w:pStyle w:val="184"/>
            </w:pPr>
            <w:r>
              <w:t>电能质量适应性</w:t>
            </w:r>
          </w:p>
        </w:tc>
        <w:tc>
          <w:tcPr>
            <w:tcW w:w="629" w:type="pct"/>
            <w:tcBorders>
              <w:top w:val="single" w:color="000000" w:sz="4" w:space="0"/>
              <w:left w:val="single" w:color="000000" w:sz="4" w:space="0"/>
              <w:bottom w:val="single" w:color="000000" w:sz="4" w:space="0"/>
              <w:right w:val="single" w:color="000000" w:sz="4" w:space="0"/>
            </w:tcBorders>
            <w:vAlign w:val="center"/>
          </w:tcPr>
          <w:p w14:paraId="727A75ED">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5F0AEB86">
            <w:pPr>
              <w:pStyle w:val="184"/>
            </w:pPr>
          </w:p>
        </w:tc>
        <w:tc>
          <w:tcPr>
            <w:tcW w:w="627" w:type="pct"/>
            <w:tcBorders>
              <w:top w:val="single" w:color="000000" w:sz="4" w:space="0"/>
              <w:left w:val="single" w:color="000000" w:sz="4" w:space="0"/>
              <w:bottom w:val="single" w:color="000000" w:sz="4" w:space="0"/>
              <w:right w:val="single" w:color="000000" w:sz="4" w:space="0"/>
            </w:tcBorders>
          </w:tcPr>
          <w:p w14:paraId="40FA5935">
            <w:pPr>
              <w:pStyle w:val="184"/>
            </w:pPr>
          </w:p>
        </w:tc>
      </w:tr>
      <w:tr w14:paraId="63B6C587">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7BA223E">
            <w:pPr>
              <w:pStyle w:val="184"/>
            </w:pPr>
            <w:r>
              <w:t xml:space="preserve">32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4AC086D4">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570158D8">
            <w:pPr>
              <w:pStyle w:val="184"/>
            </w:pPr>
            <w:r>
              <w:t>防孤岛保护</w:t>
            </w:r>
          </w:p>
        </w:tc>
        <w:tc>
          <w:tcPr>
            <w:tcW w:w="629" w:type="pct"/>
            <w:tcBorders>
              <w:top w:val="single" w:color="000000" w:sz="4" w:space="0"/>
              <w:left w:val="single" w:color="000000" w:sz="4" w:space="0"/>
              <w:bottom w:val="single" w:color="000000" w:sz="4" w:space="0"/>
              <w:right w:val="single" w:color="000000" w:sz="4" w:space="0"/>
            </w:tcBorders>
            <w:vAlign w:val="center"/>
          </w:tcPr>
          <w:p w14:paraId="69BA2A89">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5FEC255">
            <w:pPr>
              <w:pStyle w:val="184"/>
            </w:pPr>
          </w:p>
        </w:tc>
        <w:tc>
          <w:tcPr>
            <w:tcW w:w="627" w:type="pct"/>
            <w:tcBorders>
              <w:top w:val="single" w:color="000000" w:sz="4" w:space="0"/>
              <w:left w:val="single" w:color="000000" w:sz="4" w:space="0"/>
              <w:bottom w:val="single" w:color="000000" w:sz="4" w:space="0"/>
              <w:right w:val="single" w:color="000000" w:sz="4" w:space="0"/>
            </w:tcBorders>
          </w:tcPr>
          <w:p w14:paraId="3971F452">
            <w:pPr>
              <w:pStyle w:val="184"/>
            </w:pPr>
          </w:p>
        </w:tc>
      </w:tr>
      <w:tr w14:paraId="59F32A49">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5C4C0C7">
            <w:pPr>
              <w:pStyle w:val="184"/>
            </w:pPr>
            <w:r>
              <w:t xml:space="preserve">33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18249259">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4E0F2424">
            <w:pPr>
              <w:pStyle w:val="184"/>
            </w:pPr>
            <w:r>
              <w:t>恢复并网</w:t>
            </w:r>
          </w:p>
        </w:tc>
        <w:tc>
          <w:tcPr>
            <w:tcW w:w="629" w:type="pct"/>
            <w:tcBorders>
              <w:top w:val="single" w:color="000000" w:sz="4" w:space="0"/>
              <w:left w:val="single" w:color="000000" w:sz="4" w:space="0"/>
              <w:bottom w:val="single" w:color="000000" w:sz="4" w:space="0"/>
              <w:right w:val="single" w:color="000000" w:sz="4" w:space="0"/>
            </w:tcBorders>
            <w:vAlign w:val="center"/>
          </w:tcPr>
          <w:p w14:paraId="35EA61AE">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7BB21990">
            <w:pPr>
              <w:pStyle w:val="184"/>
            </w:pPr>
            <w:r>
              <w:t>√</w:t>
            </w:r>
          </w:p>
        </w:tc>
        <w:tc>
          <w:tcPr>
            <w:tcW w:w="627" w:type="pct"/>
            <w:tcBorders>
              <w:top w:val="single" w:color="000000" w:sz="4" w:space="0"/>
              <w:left w:val="single" w:color="000000" w:sz="4" w:space="0"/>
              <w:bottom w:val="single" w:color="000000" w:sz="4" w:space="0"/>
              <w:right w:val="single" w:color="000000" w:sz="4" w:space="0"/>
            </w:tcBorders>
          </w:tcPr>
          <w:p w14:paraId="7A8BA2D8">
            <w:pPr>
              <w:pStyle w:val="184"/>
            </w:pPr>
          </w:p>
        </w:tc>
      </w:tr>
      <w:tr w14:paraId="7B17E02F">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60AA090F">
            <w:pPr>
              <w:pStyle w:val="184"/>
            </w:pPr>
            <w:r>
              <w:t xml:space="preserve">34 </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762A7CC8">
            <w:pPr>
              <w:pStyle w:val="184"/>
            </w:pPr>
            <w:r>
              <w:t>通信测试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5701F9EB">
            <w:pPr>
              <w:pStyle w:val="184"/>
            </w:pPr>
            <w: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01DD908E">
            <w:pPr>
              <w:pStyle w:val="184"/>
            </w:pPr>
            <w:r>
              <w:t>√</w:t>
            </w:r>
          </w:p>
        </w:tc>
        <w:tc>
          <w:tcPr>
            <w:tcW w:w="627" w:type="pct"/>
            <w:tcBorders>
              <w:top w:val="single" w:color="000000" w:sz="4" w:space="0"/>
              <w:left w:val="single" w:color="000000" w:sz="4" w:space="0"/>
              <w:bottom w:val="single" w:color="000000" w:sz="4" w:space="0"/>
              <w:right w:val="single" w:color="000000" w:sz="4" w:space="0"/>
            </w:tcBorders>
          </w:tcPr>
          <w:p w14:paraId="2BFF4572">
            <w:pPr>
              <w:pStyle w:val="184"/>
            </w:pPr>
          </w:p>
        </w:tc>
      </w:tr>
      <w:tr w14:paraId="31B99001">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5E005DA3">
            <w:pPr>
              <w:pStyle w:val="184"/>
            </w:pPr>
            <w:r>
              <w:t xml:space="preserve">35 </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4F152C14">
            <w:pPr>
              <w:pStyle w:val="184"/>
            </w:pPr>
            <w:r>
              <w:t>电磁兼容性测试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7A48CA63">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558930F9">
            <w:pPr>
              <w:pStyle w:val="184"/>
            </w:pPr>
          </w:p>
        </w:tc>
        <w:tc>
          <w:tcPr>
            <w:tcW w:w="627" w:type="pct"/>
            <w:tcBorders>
              <w:top w:val="single" w:color="000000" w:sz="4" w:space="0"/>
              <w:left w:val="single" w:color="000000" w:sz="4" w:space="0"/>
              <w:bottom w:val="single" w:color="000000" w:sz="4" w:space="0"/>
              <w:right w:val="single" w:color="000000" w:sz="4" w:space="0"/>
            </w:tcBorders>
          </w:tcPr>
          <w:p w14:paraId="0B28A7C9">
            <w:pPr>
              <w:pStyle w:val="184"/>
            </w:pPr>
          </w:p>
        </w:tc>
      </w:tr>
      <w:tr w14:paraId="2E8181D5">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6D642DE">
            <w:pPr>
              <w:pStyle w:val="184"/>
              <w:rPr>
                <w:highlight w:val="none"/>
              </w:rPr>
            </w:pPr>
            <w:r>
              <w:rPr>
                <w:highlight w:val="none"/>
              </w:rPr>
              <w:t xml:space="preserve">36 </w:t>
            </w:r>
          </w:p>
        </w:tc>
        <w:tc>
          <w:tcPr>
            <w:tcW w:w="747" w:type="pct"/>
            <w:vMerge w:val="restart"/>
            <w:tcBorders>
              <w:top w:val="single" w:color="000000" w:sz="4" w:space="0"/>
              <w:left w:val="single" w:color="000000" w:sz="4" w:space="0"/>
              <w:bottom w:val="single" w:color="000000" w:sz="4" w:space="0"/>
              <w:right w:val="single" w:color="000000" w:sz="4" w:space="0"/>
            </w:tcBorders>
            <w:vAlign w:val="center"/>
          </w:tcPr>
          <w:p w14:paraId="54D00395">
            <w:pPr>
              <w:pStyle w:val="184"/>
              <w:rPr>
                <w:highlight w:val="none"/>
              </w:rPr>
            </w:pPr>
            <w:r>
              <w:rPr>
                <w:highlight w:val="none"/>
              </w:rPr>
              <w:t>效率</w:t>
            </w: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4B26492A">
            <w:pPr>
              <w:pStyle w:val="184"/>
              <w:rPr>
                <w:highlight w:val="none"/>
              </w:rPr>
            </w:pPr>
            <w:r>
              <w:rPr>
                <w:highlight w:val="none"/>
              </w:rPr>
              <w:t>转换效率</w:t>
            </w:r>
          </w:p>
        </w:tc>
        <w:tc>
          <w:tcPr>
            <w:tcW w:w="629" w:type="pct"/>
            <w:tcBorders>
              <w:top w:val="single" w:color="000000" w:sz="4" w:space="0"/>
              <w:left w:val="single" w:color="000000" w:sz="4" w:space="0"/>
              <w:bottom w:val="single" w:color="000000" w:sz="4" w:space="0"/>
              <w:right w:val="single" w:color="000000" w:sz="4" w:space="0"/>
            </w:tcBorders>
            <w:vAlign w:val="center"/>
          </w:tcPr>
          <w:p w14:paraId="16D1A887">
            <w:pPr>
              <w:pStyle w:val="184"/>
              <w:rPr>
                <w:highlight w:val="none"/>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vAlign w:val="center"/>
          </w:tcPr>
          <w:p w14:paraId="043AF579">
            <w:pPr>
              <w:pStyle w:val="184"/>
              <w:rPr>
                <w:highlight w:val="none"/>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64E7DFCC">
            <w:pPr>
              <w:pStyle w:val="184"/>
              <w:rPr>
                <w:highlight w:val="none"/>
              </w:rPr>
            </w:pPr>
            <w:r>
              <w:rPr>
                <w:highlight w:val="none"/>
              </w:rPr>
              <w:t>√</w:t>
            </w:r>
          </w:p>
        </w:tc>
      </w:tr>
      <w:tr w14:paraId="51FFE6DA">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395E915C">
            <w:pPr>
              <w:pStyle w:val="184"/>
            </w:pPr>
            <w:r>
              <w:t xml:space="preserve">37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7BFB4D1C">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72CA3171">
            <w:pPr>
              <w:pStyle w:val="184"/>
            </w:pPr>
            <w:r>
              <w:t>静态MPPT效率</w:t>
            </w:r>
          </w:p>
        </w:tc>
        <w:tc>
          <w:tcPr>
            <w:tcW w:w="629" w:type="pct"/>
            <w:tcBorders>
              <w:top w:val="single" w:color="000000" w:sz="4" w:space="0"/>
              <w:left w:val="single" w:color="000000" w:sz="4" w:space="0"/>
              <w:bottom w:val="single" w:color="000000" w:sz="4" w:space="0"/>
              <w:right w:val="single" w:color="000000" w:sz="4" w:space="0"/>
            </w:tcBorders>
            <w:vAlign w:val="center"/>
          </w:tcPr>
          <w:p w14:paraId="51D7A912">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597DFC77">
            <w:pPr>
              <w:pStyle w:val="184"/>
            </w:pPr>
          </w:p>
        </w:tc>
        <w:tc>
          <w:tcPr>
            <w:tcW w:w="627" w:type="pct"/>
            <w:tcBorders>
              <w:top w:val="single" w:color="000000" w:sz="4" w:space="0"/>
              <w:left w:val="single" w:color="000000" w:sz="4" w:space="0"/>
              <w:bottom w:val="single" w:color="000000" w:sz="4" w:space="0"/>
              <w:right w:val="single" w:color="000000" w:sz="4" w:space="0"/>
            </w:tcBorders>
          </w:tcPr>
          <w:p w14:paraId="514B54C5">
            <w:pPr>
              <w:pStyle w:val="184"/>
            </w:pPr>
          </w:p>
        </w:tc>
      </w:tr>
      <w:tr w14:paraId="63EBFF66">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61481881">
            <w:pPr>
              <w:pStyle w:val="184"/>
            </w:pPr>
            <w:r>
              <w:t xml:space="preserve">38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25E0E881">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404455F5">
            <w:pPr>
              <w:pStyle w:val="184"/>
            </w:pPr>
            <w:r>
              <w:t>动态MPPT效率</w:t>
            </w:r>
          </w:p>
        </w:tc>
        <w:tc>
          <w:tcPr>
            <w:tcW w:w="629" w:type="pct"/>
            <w:tcBorders>
              <w:top w:val="single" w:color="000000" w:sz="4" w:space="0"/>
              <w:left w:val="single" w:color="000000" w:sz="4" w:space="0"/>
              <w:bottom w:val="single" w:color="000000" w:sz="4" w:space="0"/>
              <w:right w:val="single" w:color="000000" w:sz="4" w:space="0"/>
            </w:tcBorders>
            <w:vAlign w:val="center"/>
          </w:tcPr>
          <w:p w14:paraId="18A28195">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2D51E1FC">
            <w:pPr>
              <w:pStyle w:val="184"/>
            </w:pPr>
          </w:p>
        </w:tc>
        <w:tc>
          <w:tcPr>
            <w:tcW w:w="627" w:type="pct"/>
            <w:tcBorders>
              <w:top w:val="single" w:color="000000" w:sz="4" w:space="0"/>
              <w:left w:val="single" w:color="000000" w:sz="4" w:space="0"/>
              <w:bottom w:val="single" w:color="000000" w:sz="4" w:space="0"/>
              <w:right w:val="single" w:color="000000" w:sz="4" w:space="0"/>
            </w:tcBorders>
          </w:tcPr>
          <w:p w14:paraId="39574482">
            <w:pPr>
              <w:pStyle w:val="184"/>
            </w:pPr>
          </w:p>
        </w:tc>
      </w:tr>
      <w:tr w14:paraId="51B307B8">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6FB1D387">
            <w:pPr>
              <w:pStyle w:val="184"/>
            </w:pPr>
            <w:r>
              <w:t xml:space="preserve">39 </w:t>
            </w:r>
          </w:p>
        </w:tc>
        <w:tc>
          <w:tcPr>
            <w:tcW w:w="747" w:type="pct"/>
            <w:vMerge w:val="continue"/>
            <w:tcBorders>
              <w:top w:val="single" w:color="000000" w:sz="4" w:space="0"/>
              <w:left w:val="single" w:color="000000" w:sz="4" w:space="0"/>
              <w:bottom w:val="single" w:color="000000" w:sz="4" w:space="0"/>
              <w:right w:val="single" w:color="000000" w:sz="4" w:space="0"/>
            </w:tcBorders>
            <w:vAlign w:val="center"/>
          </w:tcPr>
          <w:p w14:paraId="140CDC54">
            <w:pPr>
              <w:pStyle w:val="184"/>
            </w:pPr>
          </w:p>
        </w:tc>
        <w:tc>
          <w:tcPr>
            <w:tcW w:w="1979" w:type="pct"/>
            <w:gridSpan w:val="2"/>
            <w:tcBorders>
              <w:top w:val="single" w:color="000000" w:sz="4" w:space="0"/>
              <w:left w:val="single" w:color="000000" w:sz="4" w:space="0"/>
              <w:bottom w:val="single" w:color="000000" w:sz="4" w:space="0"/>
              <w:right w:val="single" w:color="000000" w:sz="4" w:space="0"/>
            </w:tcBorders>
            <w:vAlign w:val="center"/>
          </w:tcPr>
          <w:p w14:paraId="4C6D46C6">
            <w:pPr>
              <w:pStyle w:val="184"/>
            </w:pPr>
            <w:r>
              <w:t>加权效率</w:t>
            </w:r>
          </w:p>
        </w:tc>
        <w:tc>
          <w:tcPr>
            <w:tcW w:w="629" w:type="pct"/>
            <w:tcBorders>
              <w:top w:val="single" w:color="000000" w:sz="4" w:space="0"/>
              <w:left w:val="single" w:color="000000" w:sz="4" w:space="0"/>
              <w:bottom w:val="single" w:color="000000" w:sz="4" w:space="0"/>
              <w:right w:val="single" w:color="000000" w:sz="4" w:space="0"/>
            </w:tcBorders>
            <w:vAlign w:val="center"/>
          </w:tcPr>
          <w:p w14:paraId="174105FB">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348F1ED0">
            <w:pPr>
              <w:pStyle w:val="184"/>
            </w:pPr>
          </w:p>
        </w:tc>
        <w:tc>
          <w:tcPr>
            <w:tcW w:w="627" w:type="pct"/>
            <w:tcBorders>
              <w:top w:val="single" w:color="000000" w:sz="4" w:space="0"/>
              <w:left w:val="single" w:color="000000" w:sz="4" w:space="0"/>
              <w:bottom w:val="single" w:color="000000" w:sz="4" w:space="0"/>
              <w:right w:val="single" w:color="000000" w:sz="4" w:space="0"/>
            </w:tcBorders>
          </w:tcPr>
          <w:p w14:paraId="719DE6FA">
            <w:pPr>
              <w:pStyle w:val="184"/>
            </w:pPr>
          </w:p>
        </w:tc>
      </w:tr>
      <w:tr w14:paraId="15D2AE4E">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5C3C0445">
            <w:pPr>
              <w:pStyle w:val="184"/>
            </w:pPr>
            <w:r>
              <w:t xml:space="preserve">40 </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057CB086">
            <w:pPr>
              <w:pStyle w:val="184"/>
            </w:pPr>
            <w:r>
              <w:t>标识耐久性测试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1B8CB5E9">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002B6C16">
            <w:pPr>
              <w:pStyle w:val="184"/>
            </w:pPr>
          </w:p>
        </w:tc>
        <w:tc>
          <w:tcPr>
            <w:tcW w:w="627" w:type="pct"/>
            <w:tcBorders>
              <w:top w:val="single" w:color="000000" w:sz="4" w:space="0"/>
              <w:left w:val="single" w:color="000000" w:sz="4" w:space="0"/>
              <w:bottom w:val="single" w:color="000000" w:sz="4" w:space="0"/>
              <w:right w:val="single" w:color="000000" w:sz="4" w:space="0"/>
            </w:tcBorders>
          </w:tcPr>
          <w:p w14:paraId="1CDE4390">
            <w:pPr>
              <w:pStyle w:val="184"/>
            </w:pPr>
          </w:p>
        </w:tc>
      </w:tr>
      <w:tr w14:paraId="37D437FB">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4E7590AB">
            <w:pPr>
              <w:pStyle w:val="184"/>
            </w:pPr>
            <w:r>
              <w:t xml:space="preserve">41 </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0F3BE204">
            <w:pPr>
              <w:pStyle w:val="184"/>
            </w:pPr>
            <w:r>
              <w:t>包装、运输和储存测试</w:t>
            </w:r>
          </w:p>
        </w:tc>
        <w:tc>
          <w:tcPr>
            <w:tcW w:w="629" w:type="pct"/>
            <w:tcBorders>
              <w:top w:val="single" w:color="000000" w:sz="4" w:space="0"/>
              <w:left w:val="single" w:color="000000" w:sz="4" w:space="0"/>
              <w:bottom w:val="single" w:color="000000" w:sz="4" w:space="0"/>
              <w:right w:val="single" w:color="000000" w:sz="4" w:space="0"/>
            </w:tcBorders>
            <w:vAlign w:val="center"/>
          </w:tcPr>
          <w:p w14:paraId="075A6A87">
            <w:pPr>
              <w:pStyle w:val="184"/>
            </w:pPr>
            <w:r>
              <w:t>√</w:t>
            </w:r>
          </w:p>
        </w:tc>
        <w:tc>
          <w:tcPr>
            <w:tcW w:w="629" w:type="pct"/>
            <w:tcBorders>
              <w:top w:val="single" w:color="000000" w:sz="4" w:space="0"/>
              <w:left w:val="single" w:color="000000" w:sz="4" w:space="0"/>
              <w:bottom w:val="single" w:color="000000" w:sz="4" w:space="0"/>
              <w:right w:val="single" w:color="000000" w:sz="4" w:space="0"/>
            </w:tcBorders>
          </w:tcPr>
          <w:p w14:paraId="32B583ED">
            <w:pPr>
              <w:pStyle w:val="184"/>
            </w:pPr>
          </w:p>
        </w:tc>
        <w:tc>
          <w:tcPr>
            <w:tcW w:w="627" w:type="pct"/>
            <w:tcBorders>
              <w:top w:val="single" w:color="000000" w:sz="4" w:space="0"/>
              <w:left w:val="single" w:color="000000" w:sz="4" w:space="0"/>
              <w:bottom w:val="single" w:color="000000" w:sz="4" w:space="0"/>
              <w:right w:val="single" w:color="000000" w:sz="4" w:space="0"/>
            </w:tcBorders>
          </w:tcPr>
          <w:p w14:paraId="7892EE7D">
            <w:pPr>
              <w:pStyle w:val="184"/>
            </w:pPr>
          </w:p>
        </w:tc>
      </w:tr>
      <w:tr w14:paraId="192DE431">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10EB0F41">
            <w:pPr>
              <w:pStyle w:val="184"/>
              <w:rPr>
                <w:rFonts w:hint="default" w:eastAsia="宋体"/>
                <w:highlight w:val="none"/>
                <w:lang w:val="en-US" w:eastAsia="zh-CN"/>
              </w:rPr>
            </w:pPr>
            <w:bookmarkStart w:id="159" w:name="_Toc22978"/>
            <w:bookmarkStart w:id="160" w:name="_Toc214620402"/>
            <w:r>
              <w:rPr>
                <w:rFonts w:hint="eastAsia"/>
                <w:highlight w:val="none"/>
                <w:lang w:val="en-US" w:eastAsia="zh-CN"/>
              </w:rPr>
              <w:t>42</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59AF515F">
            <w:pPr>
              <w:pStyle w:val="184"/>
              <w:rPr>
                <w:highlight w:val="none"/>
              </w:rPr>
            </w:pPr>
            <w:r>
              <w:rPr>
                <w:rFonts w:hint="eastAsia"/>
                <w:highlight w:val="none"/>
              </w:rPr>
              <w:t>通流试验</w:t>
            </w:r>
          </w:p>
        </w:tc>
        <w:tc>
          <w:tcPr>
            <w:tcW w:w="629" w:type="pct"/>
            <w:tcBorders>
              <w:top w:val="single" w:color="000000" w:sz="4" w:space="0"/>
              <w:left w:val="single" w:color="000000" w:sz="4" w:space="0"/>
              <w:bottom w:val="single" w:color="000000" w:sz="4" w:space="0"/>
              <w:right w:val="single" w:color="000000" w:sz="4" w:space="0"/>
            </w:tcBorders>
            <w:vAlign w:val="center"/>
          </w:tcPr>
          <w:p w14:paraId="6200198D">
            <w:pPr>
              <w:pStyle w:val="184"/>
              <w:rPr>
                <w:highlight w:val="none"/>
              </w:rPr>
            </w:pPr>
          </w:p>
        </w:tc>
        <w:tc>
          <w:tcPr>
            <w:tcW w:w="629" w:type="pct"/>
            <w:tcBorders>
              <w:top w:val="single" w:color="000000" w:sz="4" w:space="0"/>
              <w:left w:val="single" w:color="000000" w:sz="4" w:space="0"/>
              <w:bottom w:val="single" w:color="000000" w:sz="4" w:space="0"/>
              <w:right w:val="single" w:color="000000" w:sz="4" w:space="0"/>
            </w:tcBorders>
          </w:tcPr>
          <w:p w14:paraId="5541431C">
            <w:pPr>
              <w:pStyle w:val="184"/>
              <w:rPr>
                <w:highlight w:val="none"/>
              </w:rPr>
            </w:pPr>
            <w:r>
              <w:rPr>
                <w:highlight w:val="none"/>
              </w:rPr>
              <w:t>√</w:t>
            </w:r>
          </w:p>
        </w:tc>
        <w:tc>
          <w:tcPr>
            <w:tcW w:w="627" w:type="pct"/>
            <w:tcBorders>
              <w:top w:val="single" w:color="000000" w:sz="4" w:space="0"/>
              <w:left w:val="single" w:color="000000" w:sz="4" w:space="0"/>
              <w:bottom w:val="single" w:color="000000" w:sz="4" w:space="0"/>
              <w:right w:val="single" w:color="000000" w:sz="4" w:space="0"/>
            </w:tcBorders>
          </w:tcPr>
          <w:p w14:paraId="2DEAD992">
            <w:pPr>
              <w:pStyle w:val="184"/>
              <w:rPr>
                <w:highlight w:val="none"/>
              </w:rPr>
            </w:pPr>
          </w:p>
        </w:tc>
      </w:tr>
      <w:tr w14:paraId="1D79AD30">
        <w:tblPrEx>
          <w:tblCellMar>
            <w:top w:w="0" w:type="dxa"/>
            <w:left w:w="108" w:type="dxa"/>
            <w:bottom w:w="0" w:type="dxa"/>
            <w:right w:w="108" w:type="dxa"/>
          </w:tblCellMar>
        </w:tblPrEx>
        <w:tc>
          <w:tcPr>
            <w:tcW w:w="386" w:type="pct"/>
            <w:tcBorders>
              <w:top w:val="single" w:color="000000" w:sz="4" w:space="0"/>
              <w:left w:val="single" w:color="000000" w:sz="4" w:space="0"/>
              <w:bottom w:val="single" w:color="000000" w:sz="4" w:space="0"/>
              <w:right w:val="single" w:color="000000" w:sz="4" w:space="0"/>
            </w:tcBorders>
            <w:vAlign w:val="center"/>
          </w:tcPr>
          <w:p w14:paraId="7302760A">
            <w:pPr>
              <w:pStyle w:val="184"/>
              <w:rPr>
                <w:rFonts w:hint="default"/>
                <w:highlight w:val="none"/>
                <w:lang w:val="en-US" w:eastAsia="zh-CN"/>
              </w:rPr>
            </w:pPr>
            <w:r>
              <w:rPr>
                <w:rFonts w:hint="eastAsia"/>
                <w:highlight w:val="none"/>
                <w:lang w:val="en-US" w:eastAsia="zh-CN"/>
              </w:rPr>
              <w:t>43</w:t>
            </w:r>
          </w:p>
        </w:tc>
        <w:tc>
          <w:tcPr>
            <w:tcW w:w="2727" w:type="pct"/>
            <w:gridSpan w:val="3"/>
            <w:tcBorders>
              <w:top w:val="single" w:color="000000" w:sz="4" w:space="0"/>
              <w:left w:val="single" w:color="000000" w:sz="4" w:space="0"/>
              <w:bottom w:val="single" w:color="000000" w:sz="4" w:space="0"/>
              <w:right w:val="single" w:color="000000" w:sz="4" w:space="0"/>
            </w:tcBorders>
            <w:vAlign w:val="center"/>
          </w:tcPr>
          <w:p w14:paraId="4216D983">
            <w:pPr>
              <w:pStyle w:val="184"/>
              <w:rPr>
                <w:rFonts w:hint="eastAsia"/>
                <w:highlight w:val="none"/>
              </w:rPr>
            </w:pPr>
            <w:r>
              <w:rPr>
                <w:rFonts w:hint="eastAsia"/>
                <w:highlight w:val="none"/>
              </w:rPr>
              <w:t>模块冗余切换试验</w:t>
            </w:r>
          </w:p>
        </w:tc>
        <w:tc>
          <w:tcPr>
            <w:tcW w:w="629" w:type="pct"/>
            <w:tcBorders>
              <w:top w:val="single" w:color="000000" w:sz="4" w:space="0"/>
              <w:left w:val="single" w:color="000000" w:sz="4" w:space="0"/>
              <w:bottom w:val="single" w:color="000000" w:sz="4" w:space="0"/>
              <w:right w:val="single" w:color="000000" w:sz="4" w:space="0"/>
            </w:tcBorders>
            <w:vAlign w:val="center"/>
          </w:tcPr>
          <w:p w14:paraId="23886956">
            <w:pPr>
              <w:pStyle w:val="184"/>
              <w:rPr>
                <w:highlight w:val="none"/>
              </w:rPr>
            </w:pPr>
            <w:r>
              <w:rPr>
                <w:highlight w:val="none"/>
              </w:rPr>
              <w:t>√</w:t>
            </w:r>
          </w:p>
        </w:tc>
        <w:tc>
          <w:tcPr>
            <w:tcW w:w="629" w:type="pct"/>
            <w:tcBorders>
              <w:top w:val="single" w:color="000000" w:sz="4" w:space="0"/>
              <w:left w:val="single" w:color="000000" w:sz="4" w:space="0"/>
              <w:bottom w:val="single" w:color="000000" w:sz="4" w:space="0"/>
              <w:right w:val="single" w:color="000000" w:sz="4" w:space="0"/>
            </w:tcBorders>
          </w:tcPr>
          <w:p w14:paraId="572AB566">
            <w:pPr>
              <w:pStyle w:val="184"/>
              <w:rPr>
                <w:highlight w:val="none"/>
              </w:rPr>
            </w:pPr>
          </w:p>
        </w:tc>
        <w:tc>
          <w:tcPr>
            <w:tcW w:w="627" w:type="pct"/>
            <w:tcBorders>
              <w:top w:val="single" w:color="000000" w:sz="4" w:space="0"/>
              <w:left w:val="single" w:color="000000" w:sz="4" w:space="0"/>
              <w:bottom w:val="single" w:color="000000" w:sz="4" w:space="0"/>
              <w:right w:val="single" w:color="000000" w:sz="4" w:space="0"/>
            </w:tcBorders>
          </w:tcPr>
          <w:p w14:paraId="40A7BBCB">
            <w:pPr>
              <w:pStyle w:val="184"/>
              <w:rPr>
                <w:highlight w:val="none"/>
              </w:rPr>
            </w:pPr>
          </w:p>
        </w:tc>
      </w:tr>
      <w:tr w14:paraId="327D0E50">
        <w:tblPrEx>
          <w:tblCellMar>
            <w:top w:w="0" w:type="dxa"/>
            <w:left w:w="108" w:type="dxa"/>
            <w:bottom w:w="0" w:type="dxa"/>
            <w:right w:w="108" w:type="dxa"/>
          </w:tblCellMar>
        </w:tblPrEx>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6E64B013">
            <w:pPr>
              <w:pStyle w:val="186"/>
              <w:numPr>
                <w:ilvl w:val="0"/>
                <w:numId w:val="52"/>
              </w:numPr>
              <w:bidi w:val="0"/>
              <w:rPr>
                <w:rFonts w:hint="eastAsia"/>
                <w:highlight w:val="none"/>
                <w:lang w:val="en-US" w:eastAsia="zh-CN"/>
              </w:rPr>
            </w:pPr>
            <w:r>
              <w:rPr>
                <w:rFonts w:hint="eastAsia"/>
                <w:highlight w:val="none"/>
                <w:lang w:val="en-US" w:eastAsia="zh-CN"/>
              </w:rPr>
              <w:t>通流试验应在额定电流下连续运行 2h，各模块温升不超过 60K，输出电压偏差≤±2%；</w:t>
            </w:r>
          </w:p>
          <w:p w14:paraId="09D13F20">
            <w:pPr>
              <w:pStyle w:val="186"/>
              <w:numPr>
                <w:ilvl w:val="0"/>
                <w:numId w:val="52"/>
              </w:numPr>
              <w:bidi w:val="0"/>
              <w:rPr>
                <w:rFonts w:hint="eastAsia"/>
                <w:highlight w:val="none"/>
                <w:lang w:val="en-US" w:eastAsia="zh-CN"/>
              </w:rPr>
            </w:pPr>
            <w:r>
              <w:rPr>
                <w:rFonts w:hint="eastAsia"/>
                <w:highlight w:val="none"/>
                <w:lang w:val="en-US" w:eastAsia="zh-CN"/>
              </w:rPr>
              <w:t>模块冗余切换试验，手动或自动切除 1 个工作模块，冗余模块应在 10ms 内投入运行，整机输出功率波动≤±5%；</w:t>
            </w:r>
          </w:p>
          <w:p w14:paraId="2020E20C">
            <w:pPr>
              <w:pStyle w:val="186"/>
              <w:numPr>
                <w:ilvl w:val="0"/>
                <w:numId w:val="52"/>
              </w:numPr>
              <w:bidi w:val="0"/>
              <w:rPr>
                <w:rFonts w:hint="eastAsia"/>
                <w:highlight w:val="none"/>
                <w:lang w:val="en-US" w:eastAsia="zh-CN"/>
              </w:rPr>
            </w:pPr>
            <w:r>
              <w:rPr>
                <w:rFonts w:hint="eastAsia"/>
                <w:highlight w:val="none"/>
                <w:lang w:val="en-US" w:eastAsia="zh-CN"/>
              </w:rPr>
              <w:t>噪声试验：作为出厂试验的抽检项目，抽检比例不低于10%。</w:t>
            </w:r>
          </w:p>
        </w:tc>
      </w:tr>
    </w:tbl>
    <w:p w14:paraId="63747AB6">
      <w:pPr>
        <w:pStyle w:val="111"/>
        <w:spacing w:before="120" w:after="120"/>
      </w:pPr>
      <w:bookmarkStart w:id="161" w:name="_Toc11005"/>
      <w:r>
        <w:rPr>
          <w:rFonts w:hint="eastAsia"/>
        </w:rPr>
        <w:t>高频隔离变压器试验项目</w:t>
      </w:r>
      <w:bookmarkEnd w:id="159"/>
      <w:bookmarkEnd w:id="160"/>
      <w:bookmarkEnd w:id="161"/>
    </w:p>
    <w:p w14:paraId="069492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269" w:leftChars="128" w:right="0" w:rightChars="0" w:firstLine="0" w:firstLineChars="0"/>
      </w:pPr>
      <w:r>
        <w:rPr>
          <w:rFonts w:hint="eastAsia"/>
        </w:rPr>
        <w:t>变压器的高频隔离变压器试验项目如表</w:t>
      </w:r>
      <w:r>
        <w:rPr>
          <w:rFonts w:hint="eastAsia"/>
          <w:lang w:val="en-US" w:eastAsia="zh-CN"/>
        </w:rPr>
        <w:t>11</w:t>
      </w:r>
      <w:r>
        <w:rPr>
          <w:rFonts w:hint="eastAsia"/>
        </w:rPr>
        <w:t>所示。</w:t>
      </w:r>
    </w:p>
    <w:p w14:paraId="0CD27CE8">
      <w:pPr>
        <w:pStyle w:val="118"/>
      </w:pPr>
      <w:r>
        <w:rPr>
          <w:rFonts w:hint="eastAsia"/>
        </w:rPr>
        <w:t>高频隔离变压器试验项目</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3"/>
        <w:gridCol w:w="2393"/>
        <w:gridCol w:w="2393"/>
      </w:tblGrid>
      <w:tr w14:paraId="7139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20E7D3E">
            <w:pPr>
              <w:pStyle w:val="184"/>
            </w:pPr>
            <w:r>
              <w:rPr>
                <w:rFonts w:hint="eastAsia"/>
              </w:rPr>
              <w:t>试验项目</w:t>
            </w:r>
          </w:p>
        </w:tc>
        <w:tc>
          <w:tcPr>
            <w:tcW w:w="2393" w:type="dxa"/>
          </w:tcPr>
          <w:p w14:paraId="00E76667">
            <w:pPr>
              <w:pStyle w:val="184"/>
            </w:pPr>
            <w:r>
              <w:rPr>
                <w:rFonts w:hint="eastAsia"/>
              </w:rPr>
              <w:t>相关试验</w:t>
            </w:r>
          </w:p>
        </w:tc>
        <w:tc>
          <w:tcPr>
            <w:tcW w:w="2393" w:type="dxa"/>
          </w:tcPr>
          <w:p w14:paraId="48503DB5">
            <w:pPr>
              <w:pStyle w:val="184"/>
            </w:pPr>
            <w:r>
              <w:rPr>
                <w:rFonts w:hint="eastAsia"/>
              </w:rPr>
              <w:t>出厂试验</w:t>
            </w:r>
          </w:p>
        </w:tc>
        <w:tc>
          <w:tcPr>
            <w:tcW w:w="2393" w:type="dxa"/>
          </w:tcPr>
          <w:p w14:paraId="495C33BF">
            <w:pPr>
              <w:pStyle w:val="184"/>
            </w:pPr>
            <w:r>
              <w:rPr>
                <w:rFonts w:hint="eastAsia"/>
              </w:rPr>
              <w:t>现场试验</w:t>
            </w:r>
          </w:p>
        </w:tc>
      </w:tr>
      <w:tr w14:paraId="7D65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87DEA5F">
            <w:pPr>
              <w:pStyle w:val="184"/>
            </w:pPr>
            <w:r>
              <w:rPr>
                <w:rFonts w:hint="eastAsia"/>
              </w:rPr>
              <w:t>绕组电阻测量</w:t>
            </w:r>
          </w:p>
        </w:tc>
        <w:tc>
          <w:tcPr>
            <w:tcW w:w="2393" w:type="dxa"/>
          </w:tcPr>
          <w:p w14:paraId="719524F0">
            <w:pPr>
              <w:pStyle w:val="184"/>
            </w:pPr>
            <w:r>
              <w:rPr>
                <w:rFonts w:hint="eastAsia"/>
              </w:rPr>
              <w:t>√</w:t>
            </w:r>
          </w:p>
        </w:tc>
        <w:tc>
          <w:tcPr>
            <w:tcW w:w="2393" w:type="dxa"/>
          </w:tcPr>
          <w:p w14:paraId="01B6F0A5">
            <w:pPr>
              <w:pStyle w:val="184"/>
            </w:pPr>
            <w:r>
              <w:rPr>
                <w:rFonts w:hint="eastAsia"/>
              </w:rPr>
              <w:t>√</w:t>
            </w:r>
          </w:p>
        </w:tc>
        <w:tc>
          <w:tcPr>
            <w:tcW w:w="2393" w:type="dxa"/>
          </w:tcPr>
          <w:p w14:paraId="623A9B51">
            <w:pPr>
              <w:pStyle w:val="184"/>
            </w:pPr>
          </w:p>
        </w:tc>
      </w:tr>
      <w:tr w14:paraId="6CAD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633A6F3">
            <w:pPr>
              <w:pStyle w:val="184"/>
            </w:pPr>
            <w:r>
              <w:rPr>
                <w:rFonts w:hint="eastAsia"/>
              </w:rPr>
              <w:t>电压比测量</w:t>
            </w:r>
          </w:p>
        </w:tc>
        <w:tc>
          <w:tcPr>
            <w:tcW w:w="2393" w:type="dxa"/>
          </w:tcPr>
          <w:p w14:paraId="7698994E">
            <w:pPr>
              <w:pStyle w:val="184"/>
            </w:pPr>
            <w:r>
              <w:rPr>
                <w:rFonts w:hint="eastAsia"/>
              </w:rPr>
              <w:t>√</w:t>
            </w:r>
          </w:p>
        </w:tc>
        <w:tc>
          <w:tcPr>
            <w:tcW w:w="2393" w:type="dxa"/>
          </w:tcPr>
          <w:p w14:paraId="573E4E27">
            <w:pPr>
              <w:pStyle w:val="184"/>
            </w:pPr>
            <w:r>
              <w:rPr>
                <w:rFonts w:hint="eastAsia"/>
              </w:rPr>
              <w:t>√</w:t>
            </w:r>
          </w:p>
        </w:tc>
        <w:tc>
          <w:tcPr>
            <w:tcW w:w="2393" w:type="dxa"/>
          </w:tcPr>
          <w:p w14:paraId="0C492216">
            <w:pPr>
              <w:pStyle w:val="184"/>
            </w:pPr>
          </w:p>
        </w:tc>
      </w:tr>
      <w:tr w14:paraId="4A01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14B4265">
            <w:pPr>
              <w:pStyle w:val="184"/>
            </w:pPr>
            <w:r>
              <w:rPr>
                <w:rFonts w:hint="eastAsia"/>
              </w:rPr>
              <w:t>漏感测量</w:t>
            </w:r>
          </w:p>
        </w:tc>
        <w:tc>
          <w:tcPr>
            <w:tcW w:w="2393" w:type="dxa"/>
          </w:tcPr>
          <w:p w14:paraId="4F3EFA47">
            <w:pPr>
              <w:pStyle w:val="184"/>
            </w:pPr>
            <w:r>
              <w:rPr>
                <w:rFonts w:hint="eastAsia"/>
              </w:rPr>
              <w:t>√</w:t>
            </w:r>
          </w:p>
        </w:tc>
        <w:tc>
          <w:tcPr>
            <w:tcW w:w="2393" w:type="dxa"/>
          </w:tcPr>
          <w:p w14:paraId="3E144A9D">
            <w:pPr>
              <w:pStyle w:val="184"/>
            </w:pPr>
            <w:r>
              <w:rPr>
                <w:rFonts w:hint="eastAsia"/>
              </w:rPr>
              <w:t>√</w:t>
            </w:r>
          </w:p>
        </w:tc>
        <w:tc>
          <w:tcPr>
            <w:tcW w:w="2393" w:type="dxa"/>
          </w:tcPr>
          <w:p w14:paraId="2B7F3431">
            <w:pPr>
              <w:pStyle w:val="184"/>
            </w:pPr>
          </w:p>
        </w:tc>
      </w:tr>
      <w:tr w14:paraId="5413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8565C2E">
            <w:pPr>
              <w:pStyle w:val="184"/>
            </w:pPr>
            <w:r>
              <w:rPr>
                <w:rFonts w:hint="eastAsia"/>
              </w:rPr>
              <w:t>绝缘电阻测量</w:t>
            </w:r>
          </w:p>
        </w:tc>
        <w:tc>
          <w:tcPr>
            <w:tcW w:w="2393" w:type="dxa"/>
          </w:tcPr>
          <w:p w14:paraId="341B223C">
            <w:pPr>
              <w:pStyle w:val="184"/>
            </w:pPr>
            <w:r>
              <w:rPr>
                <w:rFonts w:hint="eastAsia"/>
              </w:rPr>
              <w:t>√</w:t>
            </w:r>
          </w:p>
        </w:tc>
        <w:tc>
          <w:tcPr>
            <w:tcW w:w="2393" w:type="dxa"/>
          </w:tcPr>
          <w:p w14:paraId="0FFD2341">
            <w:pPr>
              <w:pStyle w:val="184"/>
            </w:pPr>
            <w:r>
              <w:rPr>
                <w:rFonts w:hint="eastAsia"/>
              </w:rPr>
              <w:t>√</w:t>
            </w:r>
          </w:p>
        </w:tc>
        <w:tc>
          <w:tcPr>
            <w:tcW w:w="2393" w:type="dxa"/>
          </w:tcPr>
          <w:p w14:paraId="7D3E24B7">
            <w:pPr>
              <w:pStyle w:val="184"/>
            </w:pPr>
          </w:p>
        </w:tc>
      </w:tr>
      <w:tr w14:paraId="7365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90364EE">
            <w:pPr>
              <w:pStyle w:val="184"/>
            </w:pPr>
            <w:r>
              <w:rPr>
                <w:rFonts w:hint="eastAsia"/>
              </w:rPr>
              <w:t>工频耐压及局部放电试验</w:t>
            </w:r>
          </w:p>
        </w:tc>
        <w:tc>
          <w:tcPr>
            <w:tcW w:w="2393" w:type="dxa"/>
          </w:tcPr>
          <w:p w14:paraId="6243C2CB">
            <w:pPr>
              <w:pStyle w:val="184"/>
            </w:pPr>
            <w:r>
              <w:rPr>
                <w:rFonts w:hint="eastAsia"/>
              </w:rPr>
              <w:t>√</w:t>
            </w:r>
          </w:p>
        </w:tc>
        <w:tc>
          <w:tcPr>
            <w:tcW w:w="2393" w:type="dxa"/>
          </w:tcPr>
          <w:p w14:paraId="5C94D8C2">
            <w:pPr>
              <w:pStyle w:val="184"/>
            </w:pPr>
            <w:r>
              <w:rPr>
                <w:rFonts w:hint="eastAsia"/>
              </w:rPr>
              <w:t>√</w:t>
            </w:r>
          </w:p>
        </w:tc>
        <w:tc>
          <w:tcPr>
            <w:tcW w:w="2393" w:type="dxa"/>
          </w:tcPr>
          <w:p w14:paraId="554C83B6">
            <w:pPr>
              <w:pStyle w:val="184"/>
            </w:pPr>
          </w:p>
        </w:tc>
      </w:tr>
      <w:tr w14:paraId="2ED6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F8D6DA9">
            <w:pPr>
              <w:pStyle w:val="184"/>
            </w:pPr>
            <w:r>
              <w:rPr>
                <w:rFonts w:hint="eastAsia"/>
              </w:rPr>
              <w:t>直流耐压试验</w:t>
            </w:r>
          </w:p>
        </w:tc>
        <w:tc>
          <w:tcPr>
            <w:tcW w:w="2393" w:type="dxa"/>
          </w:tcPr>
          <w:p w14:paraId="0FB4BE25">
            <w:pPr>
              <w:pStyle w:val="184"/>
            </w:pPr>
            <w:r>
              <w:rPr>
                <w:rFonts w:hint="eastAsia"/>
              </w:rPr>
              <w:t>√</w:t>
            </w:r>
          </w:p>
        </w:tc>
        <w:tc>
          <w:tcPr>
            <w:tcW w:w="2393" w:type="dxa"/>
          </w:tcPr>
          <w:p w14:paraId="23EF4B70">
            <w:pPr>
              <w:pStyle w:val="184"/>
            </w:pPr>
            <w:r>
              <w:rPr>
                <w:rFonts w:hint="eastAsia"/>
              </w:rPr>
              <w:t>√</w:t>
            </w:r>
          </w:p>
        </w:tc>
        <w:tc>
          <w:tcPr>
            <w:tcW w:w="2393" w:type="dxa"/>
          </w:tcPr>
          <w:p w14:paraId="2E2DD1CB">
            <w:pPr>
              <w:pStyle w:val="184"/>
            </w:pPr>
          </w:p>
        </w:tc>
      </w:tr>
      <w:tr w14:paraId="3DA9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8516DD4">
            <w:pPr>
              <w:pStyle w:val="184"/>
              <w:rPr>
                <w:rFonts w:hint="eastAsia" w:eastAsia="宋体"/>
                <w:highlight w:val="none"/>
                <w:lang w:eastAsia="zh-CN"/>
              </w:rPr>
            </w:pPr>
            <w:bookmarkStart w:id="162" w:name="OLE_LINK1"/>
            <w:bookmarkStart w:id="163" w:name="OLE_LINK2"/>
            <w:r>
              <w:rPr>
                <w:rFonts w:hint="eastAsia"/>
                <w:strike w:val="0"/>
                <w:dstrike w:val="0"/>
                <w:highlight w:val="none"/>
              </w:rPr>
              <w:t>感应耐压试验</w:t>
            </w:r>
            <w:bookmarkEnd w:id="162"/>
            <w:bookmarkEnd w:id="163"/>
          </w:p>
        </w:tc>
        <w:tc>
          <w:tcPr>
            <w:tcW w:w="2393" w:type="dxa"/>
          </w:tcPr>
          <w:p w14:paraId="16EF50A9">
            <w:pPr>
              <w:pStyle w:val="184"/>
              <w:rPr>
                <w:highlight w:val="none"/>
              </w:rPr>
            </w:pPr>
            <w:r>
              <w:rPr>
                <w:rFonts w:hint="eastAsia"/>
                <w:highlight w:val="none"/>
              </w:rPr>
              <w:t>√</w:t>
            </w:r>
          </w:p>
        </w:tc>
        <w:tc>
          <w:tcPr>
            <w:tcW w:w="2393" w:type="dxa"/>
          </w:tcPr>
          <w:p w14:paraId="75F6136C">
            <w:pPr>
              <w:pStyle w:val="184"/>
              <w:rPr>
                <w:highlight w:val="none"/>
              </w:rPr>
            </w:pPr>
            <w:r>
              <w:rPr>
                <w:rFonts w:hint="eastAsia"/>
                <w:highlight w:val="none"/>
              </w:rPr>
              <w:t>√</w:t>
            </w:r>
          </w:p>
        </w:tc>
        <w:tc>
          <w:tcPr>
            <w:tcW w:w="2393" w:type="dxa"/>
          </w:tcPr>
          <w:p w14:paraId="7C5400A1">
            <w:pPr>
              <w:pStyle w:val="184"/>
            </w:pPr>
          </w:p>
        </w:tc>
      </w:tr>
      <w:tr w14:paraId="2881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BF07CB5">
            <w:pPr>
              <w:pStyle w:val="184"/>
            </w:pPr>
            <w:r>
              <w:rPr>
                <w:rFonts w:hint="eastAsia"/>
              </w:rPr>
              <w:t>空载损耗及空载电流测量</w:t>
            </w:r>
          </w:p>
        </w:tc>
        <w:tc>
          <w:tcPr>
            <w:tcW w:w="2393" w:type="dxa"/>
          </w:tcPr>
          <w:p w14:paraId="73ECE0A7">
            <w:pPr>
              <w:pStyle w:val="184"/>
            </w:pPr>
            <w:r>
              <w:rPr>
                <w:rFonts w:hint="eastAsia"/>
              </w:rPr>
              <w:t>√</w:t>
            </w:r>
          </w:p>
        </w:tc>
        <w:tc>
          <w:tcPr>
            <w:tcW w:w="2393" w:type="dxa"/>
          </w:tcPr>
          <w:p w14:paraId="617349A6">
            <w:pPr>
              <w:pStyle w:val="184"/>
            </w:pPr>
            <w:r>
              <w:rPr>
                <w:rFonts w:hint="eastAsia"/>
              </w:rPr>
              <w:t>√</w:t>
            </w:r>
          </w:p>
        </w:tc>
        <w:tc>
          <w:tcPr>
            <w:tcW w:w="2393" w:type="dxa"/>
          </w:tcPr>
          <w:p w14:paraId="1EDD3D33">
            <w:pPr>
              <w:pStyle w:val="184"/>
            </w:pPr>
          </w:p>
        </w:tc>
      </w:tr>
      <w:tr w14:paraId="3CD9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B9DB0C5">
            <w:pPr>
              <w:pStyle w:val="184"/>
            </w:pPr>
            <w:r>
              <w:rPr>
                <w:rFonts w:hint="eastAsia"/>
              </w:rPr>
              <w:t>负载损耗及短路阻抗测量</w:t>
            </w:r>
          </w:p>
        </w:tc>
        <w:tc>
          <w:tcPr>
            <w:tcW w:w="2393" w:type="dxa"/>
          </w:tcPr>
          <w:p w14:paraId="3B933A0D">
            <w:pPr>
              <w:pStyle w:val="184"/>
            </w:pPr>
            <w:r>
              <w:rPr>
                <w:rFonts w:hint="eastAsia"/>
              </w:rPr>
              <w:t>√</w:t>
            </w:r>
          </w:p>
        </w:tc>
        <w:tc>
          <w:tcPr>
            <w:tcW w:w="2393" w:type="dxa"/>
          </w:tcPr>
          <w:p w14:paraId="1A26DF50">
            <w:pPr>
              <w:pStyle w:val="184"/>
            </w:pPr>
            <w:r>
              <w:rPr>
                <w:rFonts w:hint="eastAsia"/>
              </w:rPr>
              <w:t>√</w:t>
            </w:r>
          </w:p>
        </w:tc>
        <w:tc>
          <w:tcPr>
            <w:tcW w:w="2393" w:type="dxa"/>
          </w:tcPr>
          <w:p w14:paraId="6051CAB0">
            <w:pPr>
              <w:pStyle w:val="184"/>
            </w:pPr>
          </w:p>
        </w:tc>
      </w:tr>
      <w:tr w14:paraId="446B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87B3672">
            <w:pPr>
              <w:pStyle w:val="184"/>
            </w:pPr>
            <w:r>
              <w:rPr>
                <w:rFonts w:hint="eastAsia"/>
              </w:rPr>
              <w:t>温升试验</w:t>
            </w:r>
          </w:p>
        </w:tc>
        <w:tc>
          <w:tcPr>
            <w:tcW w:w="2393" w:type="dxa"/>
          </w:tcPr>
          <w:p w14:paraId="79E45BF2">
            <w:pPr>
              <w:pStyle w:val="184"/>
            </w:pPr>
          </w:p>
        </w:tc>
        <w:tc>
          <w:tcPr>
            <w:tcW w:w="2393" w:type="dxa"/>
          </w:tcPr>
          <w:p w14:paraId="48A85D62">
            <w:pPr>
              <w:pStyle w:val="184"/>
            </w:pPr>
            <w:r>
              <w:rPr>
                <w:rFonts w:hint="eastAsia"/>
              </w:rPr>
              <w:t>√</w:t>
            </w:r>
          </w:p>
        </w:tc>
        <w:tc>
          <w:tcPr>
            <w:tcW w:w="2393" w:type="dxa"/>
          </w:tcPr>
          <w:p w14:paraId="7E1345D9">
            <w:pPr>
              <w:pStyle w:val="184"/>
            </w:pPr>
          </w:p>
        </w:tc>
      </w:tr>
      <w:tr w14:paraId="5FFB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C6DAD52">
            <w:pPr>
              <w:pStyle w:val="184"/>
              <w:rPr>
                <w:rFonts w:hint="eastAsia"/>
                <w:highlight w:val="none"/>
              </w:rPr>
            </w:pPr>
            <w:bookmarkStart w:id="164" w:name="_Toc214620403"/>
            <w:bookmarkStart w:id="165" w:name="_Toc3946"/>
            <w:r>
              <w:rPr>
                <w:rFonts w:hint="eastAsia"/>
                <w:highlight w:val="none"/>
              </w:rPr>
              <w:t>交流耐压试验</w:t>
            </w:r>
          </w:p>
        </w:tc>
        <w:tc>
          <w:tcPr>
            <w:tcW w:w="2393" w:type="dxa"/>
            <w:shd w:val="clear" w:color="auto" w:fill="auto"/>
            <w:vAlign w:val="top"/>
          </w:tcPr>
          <w:p w14:paraId="3B41791B">
            <w:pPr>
              <w:pStyle w:val="184"/>
              <w:ind w:firstLine="0" w:firstLineChars="0"/>
              <w:rPr>
                <w:rFonts w:ascii="宋体" w:hAnsi="Times New Roman" w:eastAsia="宋体" w:cs="Times New Roman"/>
                <w:sz w:val="18"/>
                <w:highlight w:val="none"/>
                <w:lang w:val="en-US" w:eastAsia="zh-CN" w:bidi="ar-SA"/>
              </w:rPr>
            </w:pPr>
            <w:r>
              <w:rPr>
                <w:rFonts w:hint="eastAsia"/>
                <w:highlight w:val="none"/>
              </w:rPr>
              <w:t>√</w:t>
            </w:r>
          </w:p>
        </w:tc>
        <w:tc>
          <w:tcPr>
            <w:tcW w:w="2393" w:type="dxa"/>
            <w:shd w:val="clear" w:color="auto" w:fill="auto"/>
            <w:vAlign w:val="top"/>
          </w:tcPr>
          <w:p w14:paraId="0CD4FC96">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2393" w:type="dxa"/>
          </w:tcPr>
          <w:p w14:paraId="447EF323">
            <w:pPr>
              <w:pStyle w:val="184"/>
              <w:rPr>
                <w:highlight w:val="yellow"/>
              </w:rPr>
            </w:pPr>
          </w:p>
        </w:tc>
      </w:tr>
      <w:tr w14:paraId="425A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A37F394">
            <w:pPr>
              <w:pStyle w:val="184"/>
              <w:rPr>
                <w:rFonts w:hint="eastAsia"/>
                <w:highlight w:val="none"/>
              </w:rPr>
            </w:pPr>
            <w:r>
              <w:rPr>
                <w:rFonts w:hint="eastAsia"/>
                <w:highlight w:val="none"/>
              </w:rPr>
              <w:t>原副边寄生电容测试</w:t>
            </w:r>
          </w:p>
        </w:tc>
        <w:tc>
          <w:tcPr>
            <w:tcW w:w="2393" w:type="dxa"/>
            <w:shd w:val="clear" w:color="auto" w:fill="auto"/>
            <w:vAlign w:val="top"/>
          </w:tcPr>
          <w:p w14:paraId="62DFDB35">
            <w:pPr>
              <w:pStyle w:val="184"/>
              <w:ind w:firstLine="0" w:firstLineChars="0"/>
              <w:rPr>
                <w:rFonts w:ascii="宋体" w:hAnsi="Times New Roman" w:eastAsia="宋体" w:cs="Times New Roman"/>
                <w:sz w:val="18"/>
                <w:highlight w:val="none"/>
                <w:lang w:val="en-US" w:eastAsia="zh-CN" w:bidi="ar-SA"/>
              </w:rPr>
            </w:pPr>
            <w:r>
              <w:rPr>
                <w:rFonts w:hint="eastAsia"/>
                <w:highlight w:val="none"/>
              </w:rPr>
              <w:t>√</w:t>
            </w:r>
          </w:p>
        </w:tc>
        <w:tc>
          <w:tcPr>
            <w:tcW w:w="2393" w:type="dxa"/>
            <w:shd w:val="clear" w:color="auto" w:fill="auto"/>
            <w:vAlign w:val="top"/>
          </w:tcPr>
          <w:p w14:paraId="3AE6B200">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2393" w:type="dxa"/>
          </w:tcPr>
          <w:p w14:paraId="357B3FB5">
            <w:pPr>
              <w:pStyle w:val="184"/>
              <w:rPr>
                <w:highlight w:val="yellow"/>
              </w:rPr>
            </w:pPr>
          </w:p>
        </w:tc>
      </w:tr>
      <w:tr w14:paraId="1568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2392" w:type="dxa"/>
          </w:tcPr>
          <w:p w14:paraId="512757A3">
            <w:pPr>
              <w:pStyle w:val="184"/>
              <w:rPr>
                <w:rFonts w:hint="eastAsia"/>
                <w:highlight w:val="none"/>
              </w:rPr>
            </w:pPr>
            <w:r>
              <w:rPr>
                <w:rFonts w:hint="eastAsia"/>
                <w:highlight w:val="none"/>
              </w:rPr>
              <w:t>励磁电感量试验</w:t>
            </w:r>
          </w:p>
        </w:tc>
        <w:tc>
          <w:tcPr>
            <w:tcW w:w="2393" w:type="dxa"/>
            <w:shd w:val="clear" w:color="auto" w:fill="auto"/>
            <w:vAlign w:val="top"/>
          </w:tcPr>
          <w:p w14:paraId="4959086A">
            <w:pPr>
              <w:pStyle w:val="184"/>
              <w:ind w:firstLine="0" w:firstLineChars="0"/>
              <w:rPr>
                <w:rFonts w:ascii="宋体" w:hAnsi="Times New Roman" w:eastAsia="宋体" w:cs="Times New Roman"/>
                <w:sz w:val="18"/>
                <w:highlight w:val="none"/>
                <w:lang w:val="en-US" w:eastAsia="zh-CN" w:bidi="ar-SA"/>
              </w:rPr>
            </w:pPr>
            <w:r>
              <w:rPr>
                <w:rFonts w:hint="eastAsia"/>
                <w:highlight w:val="none"/>
              </w:rPr>
              <w:t>√</w:t>
            </w:r>
          </w:p>
        </w:tc>
        <w:tc>
          <w:tcPr>
            <w:tcW w:w="2393" w:type="dxa"/>
            <w:shd w:val="clear" w:color="auto" w:fill="auto"/>
            <w:vAlign w:val="top"/>
          </w:tcPr>
          <w:p w14:paraId="49F297F9">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2393" w:type="dxa"/>
          </w:tcPr>
          <w:p w14:paraId="1397FBF9">
            <w:pPr>
              <w:pStyle w:val="184"/>
              <w:rPr>
                <w:highlight w:val="yellow"/>
              </w:rPr>
            </w:pPr>
          </w:p>
        </w:tc>
      </w:tr>
      <w:tr w14:paraId="4E94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63868237">
            <w:pPr>
              <w:pStyle w:val="186"/>
              <w:numPr>
                <w:ilvl w:val="0"/>
                <w:numId w:val="53"/>
              </w:numPr>
              <w:bidi w:val="0"/>
              <w:rPr>
                <w:rFonts w:hint="eastAsia"/>
                <w:highlight w:val="none"/>
                <w:lang w:val="en-US" w:eastAsia="zh-CN"/>
              </w:rPr>
            </w:pPr>
            <w:r>
              <w:rPr>
                <w:rFonts w:hint="eastAsia"/>
                <w:highlight w:val="none"/>
                <w:lang w:val="en-US" w:eastAsia="zh-CN"/>
              </w:rPr>
              <w:t>交流耐压试验：原副边之间施加与本文件7.5中保持一致的电压，持续 1min，无击穿、闪络现象；</w:t>
            </w:r>
          </w:p>
          <w:p w14:paraId="7092F99C">
            <w:pPr>
              <w:pStyle w:val="186"/>
              <w:numPr>
                <w:ilvl w:val="0"/>
                <w:numId w:val="53"/>
              </w:numPr>
              <w:bidi w:val="0"/>
              <w:rPr>
                <w:rFonts w:hint="eastAsia"/>
                <w:highlight w:val="none"/>
                <w:lang w:val="en-US" w:eastAsia="zh-CN"/>
              </w:rPr>
            </w:pPr>
            <w:r>
              <w:rPr>
                <w:rFonts w:hint="eastAsia"/>
                <w:highlight w:val="none"/>
                <w:lang w:val="en-US" w:eastAsia="zh-CN"/>
              </w:rPr>
              <w:t>原副边寄生电容测试：采用LCR（测试仪）测试，寄生电容应（符合产品技术规范的要求）；</w:t>
            </w:r>
          </w:p>
          <w:p w14:paraId="76C93BBA">
            <w:pPr>
              <w:pStyle w:val="186"/>
              <w:numPr>
                <w:ilvl w:val="0"/>
                <w:numId w:val="53"/>
              </w:numPr>
              <w:bidi w:val="0"/>
              <w:rPr>
                <w:highlight w:val="yellow"/>
              </w:rPr>
            </w:pPr>
            <w:r>
              <w:rPr>
                <w:rFonts w:hint="eastAsia"/>
                <w:highlight w:val="none"/>
                <w:lang w:val="en-US" w:eastAsia="zh-CN"/>
              </w:rPr>
              <w:t>励磁电感量试验：在额定工作频率下测试，励磁电感量偏差≤±10%；</w:t>
            </w:r>
          </w:p>
          <w:p w14:paraId="1C2FB5A6">
            <w:pPr>
              <w:pStyle w:val="186"/>
              <w:numPr>
                <w:ilvl w:val="0"/>
                <w:numId w:val="53"/>
              </w:numPr>
              <w:bidi w:val="0"/>
              <w:rPr>
                <w:highlight w:val="yellow"/>
              </w:rPr>
            </w:pPr>
            <w:r>
              <w:rPr>
                <w:rFonts w:hint="eastAsia"/>
                <w:highlight w:val="none"/>
                <w:lang w:val="en-US" w:eastAsia="zh-CN"/>
              </w:rPr>
              <w:t>直流耐压试验：高压侧施加 1.5 倍额定电压的直流电压，持续 1min；低压侧施加 1.2 倍额定电压的直流电压，持续 1min，无击穿、闪络现象。</w:t>
            </w:r>
          </w:p>
        </w:tc>
      </w:tr>
    </w:tbl>
    <w:p w14:paraId="6FF7371D">
      <w:pPr>
        <w:pStyle w:val="111"/>
        <w:spacing w:before="120" w:after="120"/>
      </w:pPr>
      <w:bookmarkStart w:id="166" w:name="_Toc4191"/>
      <w:r>
        <w:rPr>
          <w:rFonts w:hint="eastAsia"/>
        </w:rPr>
        <w:t>控保装置试验项目</w:t>
      </w:r>
      <w:bookmarkEnd w:id="164"/>
      <w:bookmarkEnd w:id="165"/>
      <w:bookmarkEnd w:id="166"/>
    </w:p>
    <w:p w14:paraId="7A0A3D7B">
      <w:pPr>
        <w:pStyle w:val="64"/>
        <w:rPr>
          <w:rFonts w:hint="default" w:eastAsia="宋体"/>
          <w:lang w:val="en-US" w:eastAsia="zh-CN"/>
        </w:rPr>
      </w:pPr>
      <w:r>
        <w:rPr>
          <w:rFonts w:hint="eastAsia"/>
        </w:rPr>
        <w:t>变压器的控保装置试验项目如表</w:t>
      </w:r>
      <w:r>
        <w:rPr>
          <w:rFonts w:hint="eastAsia"/>
          <w:lang w:val="en-US" w:eastAsia="zh-CN"/>
        </w:rPr>
        <w:t>12</w:t>
      </w:r>
      <w:r>
        <w:rPr>
          <w:rFonts w:hint="eastAsia"/>
        </w:rPr>
        <w:t>所示。</w:t>
      </w:r>
    </w:p>
    <w:p w14:paraId="75E591E4">
      <w:pPr>
        <w:pStyle w:val="118"/>
      </w:pPr>
      <w:r>
        <w:rPr>
          <w:rFonts w:hint="eastAsia"/>
        </w:rPr>
        <w:t>控保装置试验项目</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1566"/>
        <w:gridCol w:w="1601"/>
        <w:gridCol w:w="1601"/>
        <w:gridCol w:w="1601"/>
      </w:tblGrid>
      <w:tr w14:paraId="7D54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Align w:val="center"/>
          </w:tcPr>
          <w:p w14:paraId="031ABB90">
            <w:pPr>
              <w:pStyle w:val="184"/>
            </w:pPr>
            <w:r>
              <w:rPr>
                <w:rFonts w:hint="eastAsia"/>
              </w:rPr>
              <w:t>试验项目</w:t>
            </w:r>
          </w:p>
        </w:tc>
        <w:tc>
          <w:tcPr>
            <w:tcW w:w="1566" w:type="dxa"/>
            <w:vAlign w:val="center"/>
          </w:tcPr>
          <w:p w14:paraId="339A2DCC">
            <w:pPr>
              <w:pStyle w:val="184"/>
            </w:pPr>
          </w:p>
        </w:tc>
        <w:tc>
          <w:tcPr>
            <w:tcW w:w="1601" w:type="dxa"/>
            <w:vAlign w:val="center"/>
          </w:tcPr>
          <w:p w14:paraId="3CDBC494">
            <w:pPr>
              <w:pStyle w:val="184"/>
            </w:pPr>
            <w:r>
              <w:rPr>
                <w:rFonts w:hint="eastAsia"/>
              </w:rPr>
              <w:t>相关试验</w:t>
            </w:r>
          </w:p>
        </w:tc>
        <w:tc>
          <w:tcPr>
            <w:tcW w:w="1601" w:type="dxa"/>
            <w:vAlign w:val="center"/>
          </w:tcPr>
          <w:p w14:paraId="56112799">
            <w:pPr>
              <w:pStyle w:val="184"/>
            </w:pPr>
            <w:r>
              <w:rPr>
                <w:rFonts w:hint="eastAsia"/>
              </w:rPr>
              <w:t>出厂试验</w:t>
            </w:r>
          </w:p>
        </w:tc>
        <w:tc>
          <w:tcPr>
            <w:tcW w:w="1601" w:type="dxa"/>
            <w:vAlign w:val="center"/>
          </w:tcPr>
          <w:p w14:paraId="6B28FD82">
            <w:pPr>
              <w:pStyle w:val="184"/>
            </w:pPr>
            <w:r>
              <w:rPr>
                <w:rFonts w:hint="eastAsia"/>
              </w:rPr>
              <w:t>现场试验</w:t>
            </w:r>
          </w:p>
        </w:tc>
      </w:tr>
      <w:tr w14:paraId="4F1E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restart"/>
            <w:vAlign w:val="center"/>
          </w:tcPr>
          <w:p w14:paraId="6F3DD7A3">
            <w:pPr>
              <w:pStyle w:val="184"/>
            </w:pPr>
            <w:bookmarkStart w:id="167" w:name="_Hlk215230457"/>
            <w:r>
              <w:rPr>
                <w:rFonts w:hint="eastAsia"/>
              </w:rPr>
              <w:t xml:space="preserve">  电磁兼容试验</w:t>
            </w:r>
          </w:p>
        </w:tc>
        <w:tc>
          <w:tcPr>
            <w:tcW w:w="1566" w:type="dxa"/>
            <w:vAlign w:val="center"/>
          </w:tcPr>
          <w:p w14:paraId="32867576">
            <w:pPr>
              <w:pStyle w:val="184"/>
            </w:pPr>
            <w:r>
              <w:rPr>
                <w:rFonts w:hint="eastAsia"/>
              </w:rPr>
              <w:t>静电放电抗扰度试验</w:t>
            </w:r>
          </w:p>
        </w:tc>
        <w:tc>
          <w:tcPr>
            <w:tcW w:w="1601" w:type="dxa"/>
            <w:vAlign w:val="center"/>
          </w:tcPr>
          <w:p w14:paraId="6B550369">
            <w:pPr>
              <w:pStyle w:val="184"/>
            </w:pPr>
            <w:r>
              <w:rPr>
                <w:rFonts w:hint="eastAsia"/>
              </w:rPr>
              <w:t>√</w:t>
            </w:r>
          </w:p>
        </w:tc>
        <w:tc>
          <w:tcPr>
            <w:tcW w:w="1601" w:type="dxa"/>
            <w:vAlign w:val="center"/>
          </w:tcPr>
          <w:p w14:paraId="3770C14A">
            <w:pPr>
              <w:pStyle w:val="184"/>
            </w:pPr>
          </w:p>
        </w:tc>
        <w:tc>
          <w:tcPr>
            <w:tcW w:w="1601" w:type="dxa"/>
            <w:vAlign w:val="center"/>
          </w:tcPr>
          <w:p w14:paraId="7BB40E51">
            <w:pPr>
              <w:pStyle w:val="184"/>
            </w:pPr>
          </w:p>
        </w:tc>
      </w:tr>
      <w:tr w14:paraId="3FEA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308F3767">
            <w:pPr>
              <w:pStyle w:val="184"/>
            </w:pPr>
          </w:p>
        </w:tc>
        <w:tc>
          <w:tcPr>
            <w:tcW w:w="1566" w:type="dxa"/>
            <w:vAlign w:val="center"/>
          </w:tcPr>
          <w:p w14:paraId="014D4995">
            <w:pPr>
              <w:pStyle w:val="184"/>
            </w:pPr>
            <w:r>
              <w:rPr>
                <w:rFonts w:hint="eastAsia"/>
              </w:rPr>
              <w:t>射频电磁场辐射抗扰度试验</w:t>
            </w:r>
          </w:p>
        </w:tc>
        <w:tc>
          <w:tcPr>
            <w:tcW w:w="1601" w:type="dxa"/>
            <w:vAlign w:val="center"/>
          </w:tcPr>
          <w:p w14:paraId="0D0C8078">
            <w:pPr>
              <w:pStyle w:val="184"/>
            </w:pPr>
            <w:r>
              <w:rPr>
                <w:rFonts w:hint="eastAsia"/>
              </w:rPr>
              <w:t>√</w:t>
            </w:r>
          </w:p>
        </w:tc>
        <w:tc>
          <w:tcPr>
            <w:tcW w:w="1601" w:type="dxa"/>
            <w:vAlign w:val="center"/>
          </w:tcPr>
          <w:p w14:paraId="33A93CEF">
            <w:pPr>
              <w:pStyle w:val="184"/>
            </w:pPr>
          </w:p>
        </w:tc>
        <w:tc>
          <w:tcPr>
            <w:tcW w:w="1601" w:type="dxa"/>
            <w:vAlign w:val="center"/>
          </w:tcPr>
          <w:p w14:paraId="7E936AC9">
            <w:pPr>
              <w:pStyle w:val="184"/>
            </w:pPr>
          </w:p>
        </w:tc>
      </w:tr>
      <w:tr w14:paraId="66FD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2A75AAB8">
            <w:pPr>
              <w:pStyle w:val="184"/>
            </w:pPr>
          </w:p>
        </w:tc>
        <w:tc>
          <w:tcPr>
            <w:tcW w:w="1566" w:type="dxa"/>
            <w:vAlign w:val="center"/>
          </w:tcPr>
          <w:p w14:paraId="7F2324CA">
            <w:pPr>
              <w:pStyle w:val="184"/>
            </w:pPr>
            <w:r>
              <w:rPr>
                <w:rFonts w:hint="eastAsia"/>
              </w:rPr>
              <w:t>电快速瞬变脉冲群抗扰度</w:t>
            </w:r>
          </w:p>
        </w:tc>
        <w:tc>
          <w:tcPr>
            <w:tcW w:w="1601" w:type="dxa"/>
            <w:vAlign w:val="center"/>
          </w:tcPr>
          <w:p w14:paraId="02475252">
            <w:pPr>
              <w:pStyle w:val="184"/>
            </w:pPr>
            <w:r>
              <w:rPr>
                <w:rFonts w:hint="eastAsia"/>
              </w:rPr>
              <w:t>√</w:t>
            </w:r>
          </w:p>
        </w:tc>
        <w:tc>
          <w:tcPr>
            <w:tcW w:w="1601" w:type="dxa"/>
            <w:vAlign w:val="center"/>
          </w:tcPr>
          <w:p w14:paraId="052DCDDD">
            <w:pPr>
              <w:pStyle w:val="184"/>
            </w:pPr>
          </w:p>
        </w:tc>
        <w:tc>
          <w:tcPr>
            <w:tcW w:w="1601" w:type="dxa"/>
            <w:vAlign w:val="center"/>
          </w:tcPr>
          <w:p w14:paraId="493F41FF">
            <w:pPr>
              <w:pStyle w:val="184"/>
            </w:pPr>
          </w:p>
        </w:tc>
      </w:tr>
      <w:tr w14:paraId="0290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4678EE0F">
            <w:pPr>
              <w:pStyle w:val="184"/>
            </w:pPr>
          </w:p>
        </w:tc>
        <w:tc>
          <w:tcPr>
            <w:tcW w:w="1566" w:type="dxa"/>
            <w:vAlign w:val="center"/>
          </w:tcPr>
          <w:p w14:paraId="28517CEF">
            <w:pPr>
              <w:pStyle w:val="184"/>
            </w:pPr>
            <w:r>
              <w:rPr>
                <w:rFonts w:hint="eastAsia"/>
              </w:rPr>
              <w:t>浪涌抗扰度试验</w:t>
            </w:r>
          </w:p>
        </w:tc>
        <w:tc>
          <w:tcPr>
            <w:tcW w:w="1601" w:type="dxa"/>
            <w:vAlign w:val="center"/>
          </w:tcPr>
          <w:p w14:paraId="59329B3D">
            <w:pPr>
              <w:pStyle w:val="184"/>
            </w:pPr>
            <w:r>
              <w:rPr>
                <w:rFonts w:hint="eastAsia"/>
              </w:rPr>
              <w:t>√</w:t>
            </w:r>
          </w:p>
        </w:tc>
        <w:tc>
          <w:tcPr>
            <w:tcW w:w="1601" w:type="dxa"/>
            <w:vAlign w:val="center"/>
          </w:tcPr>
          <w:p w14:paraId="057A58C4">
            <w:pPr>
              <w:pStyle w:val="184"/>
            </w:pPr>
          </w:p>
        </w:tc>
        <w:tc>
          <w:tcPr>
            <w:tcW w:w="1601" w:type="dxa"/>
            <w:vAlign w:val="center"/>
          </w:tcPr>
          <w:p w14:paraId="41AC165E">
            <w:pPr>
              <w:pStyle w:val="184"/>
            </w:pPr>
          </w:p>
        </w:tc>
      </w:tr>
      <w:tr w14:paraId="2B20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7A85EC6E">
            <w:pPr>
              <w:pStyle w:val="184"/>
            </w:pPr>
          </w:p>
        </w:tc>
        <w:tc>
          <w:tcPr>
            <w:tcW w:w="1566" w:type="dxa"/>
            <w:vAlign w:val="center"/>
          </w:tcPr>
          <w:p w14:paraId="7ECC40A1">
            <w:pPr>
              <w:pStyle w:val="184"/>
            </w:pPr>
            <w:r>
              <w:rPr>
                <w:rFonts w:hint="eastAsia"/>
              </w:rPr>
              <w:t>射频场感应传导骚扰抗扰度</w:t>
            </w:r>
          </w:p>
        </w:tc>
        <w:tc>
          <w:tcPr>
            <w:tcW w:w="1601" w:type="dxa"/>
            <w:vAlign w:val="center"/>
          </w:tcPr>
          <w:p w14:paraId="7CD85D64">
            <w:pPr>
              <w:pStyle w:val="184"/>
            </w:pPr>
            <w:r>
              <w:rPr>
                <w:rFonts w:hint="eastAsia"/>
              </w:rPr>
              <w:t>√</w:t>
            </w:r>
          </w:p>
        </w:tc>
        <w:tc>
          <w:tcPr>
            <w:tcW w:w="1601" w:type="dxa"/>
            <w:vAlign w:val="center"/>
          </w:tcPr>
          <w:p w14:paraId="1383BDBE">
            <w:pPr>
              <w:pStyle w:val="184"/>
            </w:pPr>
          </w:p>
        </w:tc>
        <w:tc>
          <w:tcPr>
            <w:tcW w:w="1601" w:type="dxa"/>
            <w:vAlign w:val="center"/>
          </w:tcPr>
          <w:p w14:paraId="4012D19A">
            <w:pPr>
              <w:pStyle w:val="184"/>
            </w:pPr>
          </w:p>
        </w:tc>
      </w:tr>
      <w:tr w14:paraId="074B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70702C0F">
            <w:pPr>
              <w:pStyle w:val="184"/>
            </w:pPr>
          </w:p>
        </w:tc>
        <w:tc>
          <w:tcPr>
            <w:tcW w:w="1566" w:type="dxa"/>
            <w:vAlign w:val="center"/>
          </w:tcPr>
          <w:p w14:paraId="1A571C8F">
            <w:pPr>
              <w:pStyle w:val="184"/>
            </w:pPr>
            <w:r>
              <w:rPr>
                <w:rFonts w:hint="eastAsia"/>
              </w:rPr>
              <w:t>工频磁场抗扰度试验</w:t>
            </w:r>
          </w:p>
        </w:tc>
        <w:tc>
          <w:tcPr>
            <w:tcW w:w="1601" w:type="dxa"/>
            <w:vAlign w:val="center"/>
          </w:tcPr>
          <w:p w14:paraId="1AEF5D03">
            <w:pPr>
              <w:pStyle w:val="184"/>
            </w:pPr>
            <w:r>
              <w:rPr>
                <w:rFonts w:hint="eastAsia"/>
              </w:rPr>
              <w:t>√</w:t>
            </w:r>
          </w:p>
        </w:tc>
        <w:tc>
          <w:tcPr>
            <w:tcW w:w="1601" w:type="dxa"/>
            <w:vAlign w:val="center"/>
          </w:tcPr>
          <w:p w14:paraId="6BD0055E">
            <w:pPr>
              <w:pStyle w:val="184"/>
            </w:pPr>
          </w:p>
        </w:tc>
        <w:tc>
          <w:tcPr>
            <w:tcW w:w="1601" w:type="dxa"/>
            <w:vAlign w:val="center"/>
          </w:tcPr>
          <w:p w14:paraId="266AD9B7">
            <w:pPr>
              <w:pStyle w:val="184"/>
            </w:pPr>
          </w:p>
        </w:tc>
      </w:tr>
      <w:tr w14:paraId="5C7A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64AB3C4E">
            <w:pPr>
              <w:pStyle w:val="184"/>
            </w:pPr>
          </w:p>
        </w:tc>
        <w:tc>
          <w:tcPr>
            <w:tcW w:w="1566" w:type="dxa"/>
            <w:vAlign w:val="center"/>
          </w:tcPr>
          <w:p w14:paraId="18357559">
            <w:pPr>
              <w:pStyle w:val="184"/>
            </w:pPr>
            <w:r>
              <w:rPr>
                <w:rFonts w:hint="eastAsia"/>
              </w:rPr>
              <w:t>辐射发射骚扰试验</w:t>
            </w:r>
          </w:p>
        </w:tc>
        <w:tc>
          <w:tcPr>
            <w:tcW w:w="1601" w:type="dxa"/>
            <w:vAlign w:val="center"/>
          </w:tcPr>
          <w:p w14:paraId="55E39838">
            <w:pPr>
              <w:pStyle w:val="184"/>
            </w:pPr>
            <w:r>
              <w:rPr>
                <w:rFonts w:hint="eastAsia"/>
              </w:rPr>
              <w:t>√</w:t>
            </w:r>
          </w:p>
        </w:tc>
        <w:tc>
          <w:tcPr>
            <w:tcW w:w="1601" w:type="dxa"/>
            <w:vAlign w:val="center"/>
          </w:tcPr>
          <w:p w14:paraId="175381B9">
            <w:pPr>
              <w:pStyle w:val="184"/>
            </w:pPr>
          </w:p>
        </w:tc>
        <w:tc>
          <w:tcPr>
            <w:tcW w:w="1601" w:type="dxa"/>
            <w:vAlign w:val="center"/>
          </w:tcPr>
          <w:p w14:paraId="79A466D4">
            <w:pPr>
              <w:pStyle w:val="184"/>
            </w:pPr>
          </w:p>
        </w:tc>
      </w:tr>
      <w:tr w14:paraId="72CC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17C881D2">
            <w:pPr>
              <w:pStyle w:val="184"/>
            </w:pPr>
          </w:p>
        </w:tc>
        <w:tc>
          <w:tcPr>
            <w:tcW w:w="1566" w:type="dxa"/>
            <w:vAlign w:val="center"/>
          </w:tcPr>
          <w:p w14:paraId="022922C5">
            <w:pPr>
              <w:pStyle w:val="184"/>
            </w:pPr>
            <w:r>
              <w:rPr>
                <w:rFonts w:hint="eastAsia"/>
              </w:rPr>
              <w:t>传导骚扰试验</w:t>
            </w:r>
          </w:p>
        </w:tc>
        <w:tc>
          <w:tcPr>
            <w:tcW w:w="1601" w:type="dxa"/>
            <w:vAlign w:val="center"/>
          </w:tcPr>
          <w:p w14:paraId="7F278BFF">
            <w:pPr>
              <w:pStyle w:val="184"/>
            </w:pPr>
            <w:r>
              <w:rPr>
                <w:rFonts w:hint="eastAsia"/>
              </w:rPr>
              <w:t>√</w:t>
            </w:r>
          </w:p>
        </w:tc>
        <w:tc>
          <w:tcPr>
            <w:tcW w:w="1601" w:type="dxa"/>
            <w:vAlign w:val="center"/>
          </w:tcPr>
          <w:p w14:paraId="2B32AAD4">
            <w:pPr>
              <w:pStyle w:val="184"/>
            </w:pPr>
          </w:p>
        </w:tc>
        <w:tc>
          <w:tcPr>
            <w:tcW w:w="1601" w:type="dxa"/>
            <w:vAlign w:val="center"/>
          </w:tcPr>
          <w:p w14:paraId="51D054DE">
            <w:pPr>
              <w:pStyle w:val="184"/>
            </w:pPr>
          </w:p>
        </w:tc>
      </w:tr>
      <w:tr w14:paraId="00FA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restart"/>
            <w:vAlign w:val="center"/>
          </w:tcPr>
          <w:p w14:paraId="08551952">
            <w:pPr>
              <w:pStyle w:val="184"/>
            </w:pPr>
            <w:r>
              <w:rPr>
                <w:rFonts w:hint="eastAsia"/>
              </w:rPr>
              <w:t>装置性能试验</w:t>
            </w:r>
          </w:p>
        </w:tc>
        <w:tc>
          <w:tcPr>
            <w:tcW w:w="1566" w:type="dxa"/>
            <w:vAlign w:val="center"/>
          </w:tcPr>
          <w:p w14:paraId="43B9176F">
            <w:pPr>
              <w:pStyle w:val="184"/>
            </w:pPr>
            <w:r>
              <w:rPr>
                <w:rFonts w:hint="eastAsia"/>
              </w:rPr>
              <w:t>电介质强度试验</w:t>
            </w:r>
          </w:p>
        </w:tc>
        <w:tc>
          <w:tcPr>
            <w:tcW w:w="1601" w:type="dxa"/>
            <w:vAlign w:val="center"/>
          </w:tcPr>
          <w:p w14:paraId="2EC4E374">
            <w:pPr>
              <w:pStyle w:val="184"/>
            </w:pPr>
            <w:r>
              <w:rPr>
                <w:rFonts w:hint="eastAsia"/>
              </w:rPr>
              <w:t>√</w:t>
            </w:r>
          </w:p>
        </w:tc>
        <w:tc>
          <w:tcPr>
            <w:tcW w:w="1601" w:type="dxa"/>
            <w:vAlign w:val="center"/>
          </w:tcPr>
          <w:p w14:paraId="5256A2B8">
            <w:pPr>
              <w:pStyle w:val="184"/>
            </w:pPr>
          </w:p>
        </w:tc>
        <w:tc>
          <w:tcPr>
            <w:tcW w:w="1601" w:type="dxa"/>
            <w:vAlign w:val="center"/>
          </w:tcPr>
          <w:p w14:paraId="60AD54EB">
            <w:pPr>
              <w:pStyle w:val="184"/>
            </w:pPr>
          </w:p>
        </w:tc>
      </w:tr>
      <w:tr w14:paraId="4AC4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2AE3D681">
            <w:pPr>
              <w:pStyle w:val="184"/>
            </w:pPr>
          </w:p>
        </w:tc>
        <w:tc>
          <w:tcPr>
            <w:tcW w:w="1566" w:type="dxa"/>
            <w:vAlign w:val="center"/>
          </w:tcPr>
          <w:p w14:paraId="01A8DB9F">
            <w:pPr>
              <w:pStyle w:val="184"/>
            </w:pPr>
            <w:r>
              <w:rPr>
                <w:rFonts w:hint="eastAsia"/>
              </w:rPr>
              <w:t>振动、冲击与碰撞试验</w:t>
            </w:r>
          </w:p>
        </w:tc>
        <w:tc>
          <w:tcPr>
            <w:tcW w:w="1601" w:type="dxa"/>
            <w:vAlign w:val="center"/>
          </w:tcPr>
          <w:p w14:paraId="45FE248C">
            <w:pPr>
              <w:pStyle w:val="184"/>
            </w:pPr>
            <w:r>
              <w:rPr>
                <w:rFonts w:hint="eastAsia"/>
              </w:rPr>
              <w:t>√</w:t>
            </w:r>
          </w:p>
        </w:tc>
        <w:tc>
          <w:tcPr>
            <w:tcW w:w="1601" w:type="dxa"/>
            <w:vAlign w:val="center"/>
          </w:tcPr>
          <w:p w14:paraId="41CCFB22">
            <w:pPr>
              <w:pStyle w:val="184"/>
            </w:pPr>
          </w:p>
        </w:tc>
        <w:tc>
          <w:tcPr>
            <w:tcW w:w="1601" w:type="dxa"/>
            <w:vAlign w:val="center"/>
          </w:tcPr>
          <w:p w14:paraId="6FCB1859">
            <w:pPr>
              <w:pStyle w:val="184"/>
            </w:pPr>
          </w:p>
        </w:tc>
      </w:tr>
      <w:tr w14:paraId="041C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77ECFA3F">
            <w:pPr>
              <w:pStyle w:val="184"/>
            </w:pPr>
          </w:p>
        </w:tc>
        <w:tc>
          <w:tcPr>
            <w:tcW w:w="1566" w:type="dxa"/>
            <w:vAlign w:val="center"/>
          </w:tcPr>
          <w:p w14:paraId="594931A1">
            <w:pPr>
              <w:pStyle w:val="184"/>
            </w:pPr>
            <w:r>
              <w:rPr>
                <w:rFonts w:hint="eastAsia"/>
              </w:rPr>
              <w:t>耐湿热性能环境试验</w:t>
            </w:r>
          </w:p>
        </w:tc>
        <w:tc>
          <w:tcPr>
            <w:tcW w:w="1601" w:type="dxa"/>
            <w:vAlign w:val="center"/>
          </w:tcPr>
          <w:p w14:paraId="6801D94F">
            <w:pPr>
              <w:pStyle w:val="184"/>
            </w:pPr>
            <w:r>
              <w:rPr>
                <w:rFonts w:hint="eastAsia"/>
              </w:rPr>
              <w:t>√</w:t>
            </w:r>
          </w:p>
        </w:tc>
        <w:tc>
          <w:tcPr>
            <w:tcW w:w="1601" w:type="dxa"/>
            <w:vAlign w:val="center"/>
          </w:tcPr>
          <w:p w14:paraId="29FA9427">
            <w:pPr>
              <w:pStyle w:val="184"/>
            </w:pPr>
          </w:p>
        </w:tc>
        <w:tc>
          <w:tcPr>
            <w:tcW w:w="1601" w:type="dxa"/>
            <w:vAlign w:val="center"/>
          </w:tcPr>
          <w:p w14:paraId="0D125797">
            <w:pPr>
              <w:pStyle w:val="184"/>
            </w:pPr>
          </w:p>
        </w:tc>
      </w:tr>
      <w:tr w14:paraId="76A9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4F8D6726">
            <w:pPr>
              <w:pStyle w:val="184"/>
            </w:pPr>
            <w:bookmarkStart w:id="168" w:name="_Toc214620404"/>
            <w:bookmarkStart w:id="169" w:name="_Toc9055"/>
          </w:p>
        </w:tc>
        <w:tc>
          <w:tcPr>
            <w:tcW w:w="1566" w:type="dxa"/>
            <w:vAlign w:val="center"/>
          </w:tcPr>
          <w:p w14:paraId="05780883">
            <w:pPr>
              <w:pStyle w:val="184"/>
              <w:rPr>
                <w:rFonts w:hint="eastAsia"/>
                <w:highlight w:val="none"/>
              </w:rPr>
            </w:pPr>
            <w:r>
              <w:rPr>
                <w:rFonts w:hint="eastAsia"/>
                <w:highlight w:val="none"/>
              </w:rPr>
              <w:t>保护功能动作试验</w:t>
            </w:r>
          </w:p>
        </w:tc>
        <w:tc>
          <w:tcPr>
            <w:tcW w:w="1601" w:type="dxa"/>
            <w:shd w:val="clear" w:color="auto" w:fill="auto"/>
            <w:vAlign w:val="center"/>
          </w:tcPr>
          <w:p w14:paraId="7616BD1F">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601" w:type="dxa"/>
            <w:vAlign w:val="center"/>
          </w:tcPr>
          <w:p w14:paraId="05D31DF2">
            <w:pPr>
              <w:pStyle w:val="184"/>
            </w:pPr>
          </w:p>
        </w:tc>
        <w:tc>
          <w:tcPr>
            <w:tcW w:w="1601" w:type="dxa"/>
            <w:vAlign w:val="center"/>
          </w:tcPr>
          <w:p w14:paraId="39E05ED4">
            <w:pPr>
              <w:pStyle w:val="184"/>
            </w:pPr>
          </w:p>
        </w:tc>
      </w:tr>
      <w:tr w14:paraId="306C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3C84C1DE">
            <w:pPr>
              <w:pStyle w:val="184"/>
            </w:pPr>
          </w:p>
        </w:tc>
        <w:tc>
          <w:tcPr>
            <w:tcW w:w="1566" w:type="dxa"/>
            <w:vAlign w:val="center"/>
          </w:tcPr>
          <w:p w14:paraId="5D6B27F8">
            <w:pPr>
              <w:pStyle w:val="184"/>
              <w:rPr>
                <w:rFonts w:hint="eastAsia"/>
                <w:highlight w:val="none"/>
              </w:rPr>
            </w:pPr>
            <w:r>
              <w:rPr>
                <w:rFonts w:hint="eastAsia"/>
                <w:highlight w:val="none"/>
              </w:rPr>
              <w:t>控制逻辑正确性试验</w:t>
            </w:r>
          </w:p>
        </w:tc>
        <w:tc>
          <w:tcPr>
            <w:tcW w:w="1601" w:type="dxa"/>
            <w:shd w:val="clear" w:color="auto" w:fill="auto"/>
            <w:vAlign w:val="center"/>
          </w:tcPr>
          <w:p w14:paraId="570CD72F">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601" w:type="dxa"/>
            <w:vAlign w:val="center"/>
          </w:tcPr>
          <w:p w14:paraId="2A25043A">
            <w:pPr>
              <w:pStyle w:val="184"/>
            </w:pPr>
          </w:p>
        </w:tc>
        <w:tc>
          <w:tcPr>
            <w:tcW w:w="1601" w:type="dxa"/>
            <w:vAlign w:val="center"/>
          </w:tcPr>
          <w:p w14:paraId="3A34F6A6">
            <w:pPr>
              <w:pStyle w:val="184"/>
            </w:pPr>
          </w:p>
        </w:tc>
      </w:tr>
      <w:tr w14:paraId="4B32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vMerge w:val="continue"/>
            <w:vAlign w:val="center"/>
          </w:tcPr>
          <w:p w14:paraId="1928F5CE">
            <w:pPr>
              <w:pStyle w:val="184"/>
            </w:pPr>
          </w:p>
        </w:tc>
        <w:tc>
          <w:tcPr>
            <w:tcW w:w="1566" w:type="dxa"/>
            <w:vAlign w:val="center"/>
          </w:tcPr>
          <w:p w14:paraId="6FB1B2A8">
            <w:pPr>
              <w:pStyle w:val="184"/>
              <w:rPr>
                <w:rFonts w:hint="eastAsia"/>
                <w:highlight w:val="none"/>
              </w:rPr>
            </w:pPr>
            <w:r>
              <w:rPr>
                <w:rFonts w:hint="eastAsia"/>
                <w:highlight w:val="none"/>
              </w:rPr>
              <w:t>冗余切换功能试验</w:t>
            </w:r>
          </w:p>
        </w:tc>
        <w:tc>
          <w:tcPr>
            <w:tcW w:w="1601" w:type="dxa"/>
            <w:shd w:val="clear" w:color="auto" w:fill="auto"/>
            <w:vAlign w:val="center"/>
          </w:tcPr>
          <w:p w14:paraId="7F682C52">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601" w:type="dxa"/>
            <w:vAlign w:val="center"/>
          </w:tcPr>
          <w:p w14:paraId="0DBD4EE1">
            <w:pPr>
              <w:pStyle w:val="184"/>
            </w:pPr>
          </w:p>
        </w:tc>
        <w:tc>
          <w:tcPr>
            <w:tcW w:w="1601" w:type="dxa"/>
            <w:vAlign w:val="center"/>
          </w:tcPr>
          <w:p w14:paraId="7B6CF4FB">
            <w:pPr>
              <w:pStyle w:val="184"/>
            </w:pPr>
          </w:p>
        </w:tc>
      </w:tr>
      <w:bookmarkEnd w:id="167"/>
    </w:tbl>
    <w:p w14:paraId="6C44BED5">
      <w:pPr>
        <w:pStyle w:val="111"/>
        <w:spacing w:before="120" w:after="120"/>
      </w:pPr>
      <w:bookmarkStart w:id="170" w:name="_Toc5174"/>
      <w:r>
        <w:rPr>
          <w:rFonts w:hint="eastAsia"/>
        </w:rPr>
        <w:t>功率模块试验项目</w:t>
      </w:r>
      <w:bookmarkEnd w:id="168"/>
      <w:bookmarkEnd w:id="169"/>
      <w:bookmarkEnd w:id="170"/>
    </w:p>
    <w:p w14:paraId="2459E751">
      <w:pPr>
        <w:pStyle w:val="64"/>
        <w:rPr>
          <w:rFonts w:hint="default"/>
          <w:b/>
          <w:bCs/>
          <w:color w:val="C00000"/>
          <w:lang w:val="en-US" w:eastAsia="zh-CN"/>
        </w:rPr>
      </w:pPr>
      <w:r>
        <w:rPr>
          <w:rFonts w:hint="eastAsia"/>
        </w:rPr>
        <w:t>变压器的功率模块试验项目如表1</w:t>
      </w:r>
      <w:r>
        <w:rPr>
          <w:rFonts w:hint="eastAsia"/>
          <w:lang w:val="en-US" w:eastAsia="zh-CN"/>
        </w:rPr>
        <w:t>3</w:t>
      </w:r>
      <w:r>
        <w:rPr>
          <w:rFonts w:hint="eastAsia"/>
        </w:rPr>
        <w:t>所示。</w:t>
      </w:r>
    </w:p>
    <w:p w14:paraId="280BE4AC">
      <w:pPr>
        <w:pStyle w:val="118"/>
      </w:pPr>
      <w:r>
        <w:rPr>
          <w:rFonts w:hint="eastAsia"/>
        </w:rPr>
        <w:t>功率模块试验项目</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914"/>
        <w:gridCol w:w="1914"/>
        <w:gridCol w:w="1914"/>
        <w:gridCol w:w="1915"/>
      </w:tblGrid>
      <w:tr w14:paraId="2C45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8" w:type="dxa"/>
            <w:gridSpan w:val="2"/>
            <w:vAlign w:val="center"/>
          </w:tcPr>
          <w:p w14:paraId="6B505095">
            <w:pPr>
              <w:pStyle w:val="184"/>
            </w:pPr>
            <w:r>
              <w:rPr>
                <w:rFonts w:hint="eastAsia"/>
              </w:rPr>
              <w:t>试验项目</w:t>
            </w:r>
          </w:p>
        </w:tc>
        <w:tc>
          <w:tcPr>
            <w:tcW w:w="1914" w:type="dxa"/>
            <w:vAlign w:val="center"/>
          </w:tcPr>
          <w:p w14:paraId="03304384">
            <w:pPr>
              <w:pStyle w:val="184"/>
            </w:pPr>
            <w:r>
              <w:rPr>
                <w:rFonts w:hint="eastAsia"/>
              </w:rPr>
              <w:t>相关试验</w:t>
            </w:r>
          </w:p>
        </w:tc>
        <w:tc>
          <w:tcPr>
            <w:tcW w:w="1914" w:type="dxa"/>
            <w:vAlign w:val="center"/>
          </w:tcPr>
          <w:p w14:paraId="6D9ADB45">
            <w:pPr>
              <w:pStyle w:val="184"/>
            </w:pPr>
            <w:r>
              <w:rPr>
                <w:rFonts w:hint="eastAsia"/>
              </w:rPr>
              <w:t>出厂试验</w:t>
            </w:r>
          </w:p>
        </w:tc>
        <w:tc>
          <w:tcPr>
            <w:tcW w:w="1915" w:type="dxa"/>
            <w:vAlign w:val="center"/>
          </w:tcPr>
          <w:p w14:paraId="68DAC85F">
            <w:pPr>
              <w:pStyle w:val="184"/>
            </w:pPr>
            <w:r>
              <w:rPr>
                <w:rFonts w:hint="eastAsia"/>
              </w:rPr>
              <w:t>现场试验</w:t>
            </w:r>
          </w:p>
        </w:tc>
      </w:tr>
      <w:tr w14:paraId="47FD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restart"/>
            <w:vAlign w:val="center"/>
          </w:tcPr>
          <w:p w14:paraId="0FE597D9">
            <w:pPr>
              <w:pStyle w:val="184"/>
            </w:pPr>
            <w:r>
              <w:rPr>
                <w:rFonts w:hint="eastAsia"/>
              </w:rPr>
              <w:t>功能性试验</w:t>
            </w:r>
          </w:p>
        </w:tc>
        <w:tc>
          <w:tcPr>
            <w:tcW w:w="1914" w:type="dxa"/>
            <w:vAlign w:val="center"/>
          </w:tcPr>
          <w:p w14:paraId="75FF085E">
            <w:pPr>
              <w:pStyle w:val="184"/>
              <w:rPr>
                <w:highlight w:val="none"/>
              </w:rPr>
            </w:pPr>
            <w:r>
              <w:rPr>
                <w:rFonts w:hint="eastAsia"/>
                <w:highlight w:val="none"/>
              </w:rPr>
              <w:t>空载运行试验</w:t>
            </w:r>
          </w:p>
        </w:tc>
        <w:tc>
          <w:tcPr>
            <w:tcW w:w="1914" w:type="dxa"/>
            <w:vAlign w:val="center"/>
          </w:tcPr>
          <w:p w14:paraId="53F0E240">
            <w:pPr>
              <w:pStyle w:val="184"/>
              <w:rPr>
                <w:highlight w:val="none"/>
              </w:rPr>
            </w:pPr>
            <w:r>
              <w:rPr>
                <w:rFonts w:hint="eastAsia"/>
                <w:highlight w:val="none"/>
              </w:rPr>
              <w:t>√</w:t>
            </w:r>
          </w:p>
        </w:tc>
        <w:tc>
          <w:tcPr>
            <w:tcW w:w="1914" w:type="dxa"/>
            <w:vAlign w:val="center"/>
          </w:tcPr>
          <w:p w14:paraId="5B24A4DD">
            <w:pPr>
              <w:pStyle w:val="184"/>
              <w:rPr>
                <w:highlight w:val="none"/>
              </w:rPr>
            </w:pPr>
            <w:r>
              <w:rPr>
                <w:rFonts w:hint="eastAsia"/>
                <w:highlight w:val="none"/>
              </w:rPr>
              <w:t>√</w:t>
            </w:r>
          </w:p>
        </w:tc>
        <w:tc>
          <w:tcPr>
            <w:tcW w:w="1915" w:type="dxa"/>
            <w:vAlign w:val="center"/>
          </w:tcPr>
          <w:p w14:paraId="27D5968A">
            <w:pPr>
              <w:pStyle w:val="184"/>
            </w:pPr>
          </w:p>
        </w:tc>
      </w:tr>
      <w:tr w14:paraId="7635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continue"/>
            <w:vAlign w:val="center"/>
          </w:tcPr>
          <w:p w14:paraId="510EB0CD">
            <w:pPr>
              <w:pStyle w:val="184"/>
            </w:pPr>
          </w:p>
        </w:tc>
        <w:tc>
          <w:tcPr>
            <w:tcW w:w="1914" w:type="dxa"/>
            <w:vAlign w:val="center"/>
          </w:tcPr>
          <w:p w14:paraId="3BA18469">
            <w:pPr>
              <w:pStyle w:val="184"/>
              <w:rPr>
                <w:highlight w:val="none"/>
              </w:rPr>
            </w:pPr>
            <w:r>
              <w:rPr>
                <w:rFonts w:hint="eastAsia"/>
                <w:highlight w:val="none"/>
              </w:rPr>
              <w:t>满载运行试验</w:t>
            </w:r>
          </w:p>
        </w:tc>
        <w:tc>
          <w:tcPr>
            <w:tcW w:w="1914" w:type="dxa"/>
            <w:vAlign w:val="center"/>
          </w:tcPr>
          <w:p w14:paraId="3E61851D">
            <w:pPr>
              <w:pStyle w:val="184"/>
              <w:rPr>
                <w:highlight w:val="none"/>
              </w:rPr>
            </w:pPr>
            <w:r>
              <w:rPr>
                <w:rFonts w:hint="eastAsia"/>
                <w:highlight w:val="none"/>
              </w:rPr>
              <w:t>√</w:t>
            </w:r>
          </w:p>
        </w:tc>
        <w:tc>
          <w:tcPr>
            <w:tcW w:w="1914" w:type="dxa"/>
            <w:vAlign w:val="center"/>
          </w:tcPr>
          <w:p w14:paraId="3E3C82A0">
            <w:pPr>
              <w:pStyle w:val="184"/>
              <w:rPr>
                <w:highlight w:val="none"/>
              </w:rPr>
            </w:pPr>
            <w:r>
              <w:rPr>
                <w:rFonts w:hint="eastAsia"/>
                <w:highlight w:val="none"/>
              </w:rPr>
              <w:t>√</w:t>
            </w:r>
          </w:p>
        </w:tc>
        <w:tc>
          <w:tcPr>
            <w:tcW w:w="1915" w:type="dxa"/>
            <w:vAlign w:val="center"/>
          </w:tcPr>
          <w:p w14:paraId="326C0CD7">
            <w:pPr>
              <w:pStyle w:val="184"/>
            </w:pPr>
          </w:p>
        </w:tc>
      </w:tr>
      <w:tr w14:paraId="0A3F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restart"/>
            <w:vAlign w:val="center"/>
          </w:tcPr>
          <w:p w14:paraId="7B23AA72">
            <w:pPr>
              <w:pStyle w:val="184"/>
            </w:pPr>
            <w:r>
              <w:rPr>
                <w:rFonts w:hint="eastAsia"/>
              </w:rPr>
              <w:t>保护试验</w:t>
            </w:r>
          </w:p>
        </w:tc>
        <w:tc>
          <w:tcPr>
            <w:tcW w:w="1914" w:type="dxa"/>
            <w:vAlign w:val="center"/>
          </w:tcPr>
          <w:p w14:paraId="224EC689">
            <w:pPr>
              <w:pStyle w:val="184"/>
            </w:pPr>
            <w:r>
              <w:rPr>
                <w:rFonts w:hint="eastAsia"/>
              </w:rPr>
              <w:t>直流过压保护试验</w:t>
            </w:r>
          </w:p>
        </w:tc>
        <w:tc>
          <w:tcPr>
            <w:tcW w:w="1914" w:type="dxa"/>
            <w:vAlign w:val="center"/>
          </w:tcPr>
          <w:p w14:paraId="432337A2">
            <w:pPr>
              <w:pStyle w:val="184"/>
            </w:pPr>
            <w:r>
              <w:rPr>
                <w:rFonts w:hint="eastAsia"/>
              </w:rPr>
              <w:t>√</w:t>
            </w:r>
          </w:p>
        </w:tc>
        <w:tc>
          <w:tcPr>
            <w:tcW w:w="1914" w:type="dxa"/>
            <w:vAlign w:val="center"/>
          </w:tcPr>
          <w:p w14:paraId="391A0EBB">
            <w:pPr>
              <w:pStyle w:val="184"/>
            </w:pPr>
            <w:r>
              <w:rPr>
                <w:rFonts w:hint="eastAsia"/>
              </w:rPr>
              <w:t>√</w:t>
            </w:r>
          </w:p>
        </w:tc>
        <w:tc>
          <w:tcPr>
            <w:tcW w:w="1915" w:type="dxa"/>
            <w:vAlign w:val="center"/>
          </w:tcPr>
          <w:p w14:paraId="37B3DD59">
            <w:pPr>
              <w:pStyle w:val="184"/>
            </w:pPr>
          </w:p>
        </w:tc>
      </w:tr>
      <w:tr w14:paraId="7795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Merge w:val="continue"/>
            <w:vAlign w:val="center"/>
          </w:tcPr>
          <w:p w14:paraId="3DA2DAFB">
            <w:pPr>
              <w:pStyle w:val="184"/>
            </w:pPr>
          </w:p>
        </w:tc>
        <w:tc>
          <w:tcPr>
            <w:tcW w:w="1914" w:type="dxa"/>
            <w:vAlign w:val="center"/>
          </w:tcPr>
          <w:p w14:paraId="2BB7965E">
            <w:pPr>
              <w:pStyle w:val="184"/>
            </w:pPr>
            <w:r>
              <w:rPr>
                <w:rFonts w:hint="eastAsia"/>
              </w:rPr>
              <w:t>通讯断线故障保护试验</w:t>
            </w:r>
          </w:p>
        </w:tc>
        <w:tc>
          <w:tcPr>
            <w:tcW w:w="1914" w:type="dxa"/>
            <w:vAlign w:val="center"/>
          </w:tcPr>
          <w:p w14:paraId="3D105D0E">
            <w:pPr>
              <w:pStyle w:val="184"/>
            </w:pPr>
            <w:r>
              <w:rPr>
                <w:rFonts w:hint="eastAsia"/>
              </w:rPr>
              <w:t>√</w:t>
            </w:r>
          </w:p>
        </w:tc>
        <w:tc>
          <w:tcPr>
            <w:tcW w:w="1914" w:type="dxa"/>
            <w:vAlign w:val="center"/>
          </w:tcPr>
          <w:p w14:paraId="37CEB1CF">
            <w:pPr>
              <w:pStyle w:val="184"/>
            </w:pPr>
            <w:r>
              <w:rPr>
                <w:rFonts w:hint="eastAsia"/>
              </w:rPr>
              <w:t>√</w:t>
            </w:r>
          </w:p>
        </w:tc>
        <w:tc>
          <w:tcPr>
            <w:tcW w:w="1915" w:type="dxa"/>
            <w:vAlign w:val="center"/>
          </w:tcPr>
          <w:p w14:paraId="0F88363B">
            <w:pPr>
              <w:pStyle w:val="184"/>
            </w:pPr>
          </w:p>
        </w:tc>
      </w:tr>
      <w:tr w14:paraId="443A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Align w:val="center"/>
          </w:tcPr>
          <w:p w14:paraId="75428796">
            <w:pPr>
              <w:pStyle w:val="184"/>
              <w:rPr>
                <w:highlight w:val="none"/>
              </w:rPr>
            </w:pPr>
            <w:bookmarkStart w:id="171" w:name="_Toc209022152"/>
            <w:bookmarkStart w:id="172" w:name="_Toc4196"/>
            <w:bookmarkStart w:id="173" w:name="_Toc214620405"/>
            <w:bookmarkStart w:id="174" w:name="_Toc207263657"/>
            <w:bookmarkStart w:id="175" w:name="_Toc207264077"/>
            <w:bookmarkStart w:id="176" w:name="_Toc207264002"/>
            <w:bookmarkStart w:id="177" w:name="_Toc188371220"/>
            <w:r>
              <w:rPr>
                <w:rFonts w:hint="eastAsia"/>
                <w:highlight w:val="none"/>
              </w:rPr>
              <w:t>可靠性试验</w:t>
            </w:r>
          </w:p>
        </w:tc>
        <w:tc>
          <w:tcPr>
            <w:tcW w:w="1914" w:type="dxa"/>
            <w:vAlign w:val="center"/>
          </w:tcPr>
          <w:p w14:paraId="33C30D0D">
            <w:pPr>
              <w:pStyle w:val="184"/>
              <w:rPr>
                <w:rFonts w:hint="eastAsia"/>
                <w:highlight w:val="none"/>
              </w:rPr>
            </w:pPr>
            <w:r>
              <w:rPr>
                <w:rFonts w:hint="eastAsia"/>
                <w:highlight w:val="none"/>
              </w:rPr>
              <w:t>高低温循环试验</w:t>
            </w:r>
          </w:p>
        </w:tc>
        <w:tc>
          <w:tcPr>
            <w:tcW w:w="1914" w:type="dxa"/>
            <w:shd w:val="clear" w:color="auto" w:fill="auto"/>
            <w:vAlign w:val="center"/>
          </w:tcPr>
          <w:p w14:paraId="65B6931D">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914" w:type="dxa"/>
            <w:shd w:val="clear" w:color="auto" w:fill="auto"/>
            <w:vAlign w:val="center"/>
          </w:tcPr>
          <w:p w14:paraId="6BD1D158">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915" w:type="dxa"/>
            <w:vAlign w:val="center"/>
          </w:tcPr>
          <w:p w14:paraId="3CAAC33A">
            <w:pPr>
              <w:pStyle w:val="184"/>
            </w:pPr>
          </w:p>
        </w:tc>
      </w:tr>
      <w:tr w14:paraId="15F5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4" w:type="dxa"/>
            <w:vAlign w:val="center"/>
          </w:tcPr>
          <w:p w14:paraId="691F71CB">
            <w:pPr>
              <w:pStyle w:val="184"/>
              <w:rPr>
                <w:rFonts w:hint="eastAsia"/>
                <w:highlight w:val="none"/>
              </w:rPr>
            </w:pPr>
            <w:r>
              <w:rPr>
                <w:rFonts w:hint="eastAsia"/>
                <w:highlight w:val="none"/>
              </w:rPr>
              <w:t>电气性能试验</w:t>
            </w:r>
          </w:p>
        </w:tc>
        <w:tc>
          <w:tcPr>
            <w:tcW w:w="1914" w:type="dxa"/>
            <w:vAlign w:val="center"/>
          </w:tcPr>
          <w:p w14:paraId="188E674A">
            <w:pPr>
              <w:pStyle w:val="184"/>
              <w:rPr>
                <w:rFonts w:hint="eastAsia"/>
                <w:highlight w:val="none"/>
              </w:rPr>
            </w:pPr>
            <w:r>
              <w:rPr>
                <w:rFonts w:hint="eastAsia"/>
                <w:highlight w:val="none"/>
              </w:rPr>
              <w:t>开关特性试验</w:t>
            </w:r>
          </w:p>
        </w:tc>
        <w:tc>
          <w:tcPr>
            <w:tcW w:w="1914" w:type="dxa"/>
            <w:shd w:val="clear" w:color="auto" w:fill="auto"/>
            <w:vAlign w:val="center"/>
          </w:tcPr>
          <w:p w14:paraId="5D15E273">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914" w:type="dxa"/>
            <w:shd w:val="clear" w:color="auto" w:fill="auto"/>
            <w:vAlign w:val="center"/>
          </w:tcPr>
          <w:p w14:paraId="57A1ED69">
            <w:pPr>
              <w:pStyle w:val="184"/>
              <w:ind w:firstLine="0" w:firstLineChars="0"/>
              <w:rPr>
                <w:rFonts w:hint="eastAsia" w:ascii="宋体" w:hAnsi="Times New Roman" w:eastAsia="宋体" w:cs="Times New Roman"/>
                <w:sz w:val="18"/>
                <w:highlight w:val="none"/>
                <w:lang w:val="en-US" w:eastAsia="zh-CN" w:bidi="ar-SA"/>
              </w:rPr>
            </w:pPr>
            <w:r>
              <w:rPr>
                <w:rFonts w:hint="eastAsia"/>
                <w:highlight w:val="none"/>
              </w:rPr>
              <w:t>√</w:t>
            </w:r>
          </w:p>
        </w:tc>
        <w:tc>
          <w:tcPr>
            <w:tcW w:w="1915" w:type="dxa"/>
            <w:vAlign w:val="center"/>
          </w:tcPr>
          <w:p w14:paraId="4C745E7E">
            <w:pPr>
              <w:pStyle w:val="184"/>
            </w:pPr>
          </w:p>
        </w:tc>
      </w:tr>
    </w:tbl>
    <w:p w14:paraId="3320C3DB">
      <w:pPr>
        <w:pStyle w:val="111"/>
        <w:spacing w:before="120" w:after="120"/>
      </w:pPr>
      <w:bookmarkStart w:id="178" w:name="_Toc11694"/>
      <w:r>
        <w:rPr>
          <w:rFonts w:hint="eastAsia"/>
        </w:rPr>
        <w:t>出厂检验</w:t>
      </w:r>
      <w:bookmarkEnd w:id="171"/>
      <w:bookmarkEnd w:id="172"/>
      <w:bookmarkEnd w:id="173"/>
      <w:bookmarkEnd w:id="174"/>
      <w:bookmarkEnd w:id="175"/>
      <w:bookmarkEnd w:id="176"/>
      <w:bookmarkEnd w:id="177"/>
      <w:bookmarkEnd w:id="178"/>
    </w:p>
    <w:p w14:paraId="0B068373">
      <w:pPr>
        <w:pStyle w:val="64"/>
        <w:rPr>
          <w:rFonts w:hint="eastAsia"/>
          <w:highlight w:val="none"/>
        </w:rPr>
      </w:pPr>
      <w:r>
        <w:rPr>
          <w:rFonts w:hint="eastAsia"/>
        </w:rPr>
        <w:t>每台产品都应进行出厂试验</w:t>
      </w:r>
      <w:r>
        <w:rPr>
          <w:rFonts w:hint="eastAsia"/>
          <w:highlight w:val="none"/>
        </w:rPr>
        <w:t>。出厂试验时，只有一项不合格，允许返修后复试，复试一次仍不合格，则为试验不合格。试验合格后，填写试验记录并且出具合格证方能出厂。</w:t>
      </w:r>
    </w:p>
    <w:p w14:paraId="13ED92EB">
      <w:pPr>
        <w:pStyle w:val="111"/>
        <w:spacing w:before="120" w:after="120"/>
      </w:pPr>
      <w:bookmarkStart w:id="179" w:name="_Toc14230"/>
      <w:bookmarkStart w:id="180" w:name="_Toc207263658"/>
      <w:bookmarkStart w:id="181" w:name="_Toc209022153"/>
      <w:bookmarkStart w:id="182" w:name="_Toc207264003"/>
      <w:bookmarkStart w:id="183" w:name="_Toc28541"/>
      <w:bookmarkStart w:id="184" w:name="_Toc207264078"/>
      <w:bookmarkStart w:id="185" w:name="_Toc188371221"/>
      <w:bookmarkStart w:id="186" w:name="_Toc214620406"/>
      <w:r>
        <w:rPr>
          <w:rFonts w:hint="eastAsia"/>
        </w:rPr>
        <w:t>相关（</w:t>
      </w:r>
      <w:r>
        <w:t>型式</w:t>
      </w:r>
      <w:r>
        <w:rPr>
          <w:rFonts w:hint="eastAsia"/>
        </w:rPr>
        <w:t>）</w:t>
      </w:r>
      <w:r>
        <w:t>检验</w:t>
      </w:r>
      <w:bookmarkEnd w:id="179"/>
      <w:bookmarkEnd w:id="180"/>
      <w:bookmarkEnd w:id="181"/>
      <w:bookmarkEnd w:id="182"/>
      <w:bookmarkEnd w:id="183"/>
      <w:bookmarkEnd w:id="184"/>
      <w:bookmarkEnd w:id="185"/>
      <w:bookmarkEnd w:id="186"/>
    </w:p>
    <w:p w14:paraId="1C2A076E">
      <w:pPr>
        <w:pStyle w:val="64"/>
      </w:pPr>
      <w:r>
        <w:t>当有下列情况出现时，应进行型式检验：</w:t>
      </w:r>
    </w:p>
    <w:p w14:paraId="136BDA6F">
      <w:pPr>
        <w:pStyle w:val="180"/>
        <w:numPr>
          <w:ilvl w:val="0"/>
          <w:numId w:val="54"/>
        </w:numPr>
        <w:ind w:left="775" w:hanging="360"/>
      </w:pPr>
      <w:r>
        <w:rPr>
          <w:rFonts w:hint="eastAsia"/>
        </w:rPr>
        <w:t>新产品或老产品转厂的定型鉴定试验；</w:t>
      </w:r>
    </w:p>
    <w:p w14:paraId="2BA79524">
      <w:pPr>
        <w:pStyle w:val="180"/>
        <w:numPr>
          <w:ilvl w:val="0"/>
          <w:numId w:val="54"/>
        </w:numPr>
        <w:ind w:left="775" w:hanging="360"/>
      </w:pPr>
      <w:r>
        <w:rPr>
          <w:rFonts w:hint="eastAsia"/>
        </w:rPr>
        <w:t>当产品的设计、工艺或所用材料的改变会影响产品性能时；</w:t>
      </w:r>
    </w:p>
    <w:p w14:paraId="57113E20">
      <w:pPr>
        <w:pStyle w:val="180"/>
        <w:numPr>
          <w:ilvl w:val="0"/>
          <w:numId w:val="54"/>
        </w:numPr>
        <w:ind w:left="775" w:hanging="360"/>
      </w:pPr>
      <w:r>
        <w:rPr>
          <w:rFonts w:hint="eastAsia"/>
        </w:rPr>
        <w:t>产品长期停产后恢复生产时；</w:t>
      </w:r>
    </w:p>
    <w:p w14:paraId="4B89265E">
      <w:pPr>
        <w:pStyle w:val="180"/>
        <w:numPr>
          <w:ilvl w:val="0"/>
          <w:numId w:val="54"/>
        </w:numPr>
        <w:ind w:left="775" w:hanging="360"/>
      </w:pPr>
      <w:r>
        <w:rPr>
          <w:rFonts w:hint="eastAsia"/>
        </w:rPr>
        <w:t>出厂试验结果与上次型式试验有较大差异时；</w:t>
      </w:r>
    </w:p>
    <w:p w14:paraId="6791CEB2">
      <w:pPr>
        <w:pStyle w:val="180"/>
        <w:numPr>
          <w:ilvl w:val="0"/>
          <w:numId w:val="54"/>
        </w:numPr>
        <w:ind w:left="775" w:hanging="360"/>
      </w:pPr>
      <w:r>
        <w:rPr>
          <w:rFonts w:hint="eastAsia"/>
        </w:rPr>
        <w:t>用户提出特殊要求，经制造商同意时；</w:t>
      </w:r>
    </w:p>
    <w:p w14:paraId="5FB367BE">
      <w:pPr>
        <w:pStyle w:val="180"/>
        <w:numPr>
          <w:ilvl w:val="0"/>
          <w:numId w:val="54"/>
        </w:numPr>
        <w:ind w:left="775" w:hanging="360"/>
      </w:pPr>
      <w:r>
        <w:rPr>
          <w:rFonts w:hint="eastAsia"/>
        </w:rPr>
        <w:t>试验时，如果每个产品只有一项不合格，允许返工重试一次。如复试仍不合格，则判定该产品为不合格品。</w:t>
      </w:r>
    </w:p>
    <w:p w14:paraId="009FBF24">
      <w:pPr>
        <w:pStyle w:val="111"/>
        <w:spacing w:before="120" w:after="120"/>
      </w:pPr>
      <w:bookmarkStart w:id="187" w:name="_Toc188371222"/>
      <w:bookmarkStart w:id="188" w:name="_Toc209022154"/>
      <w:bookmarkStart w:id="189" w:name="_Toc18394"/>
      <w:bookmarkStart w:id="190" w:name="_Toc31858"/>
      <w:bookmarkStart w:id="191" w:name="_Toc207264004"/>
      <w:bookmarkStart w:id="192" w:name="_Toc207263659"/>
      <w:bookmarkStart w:id="193" w:name="_Toc214620407"/>
      <w:bookmarkStart w:id="194" w:name="_Toc207264079"/>
      <w:r>
        <w:rPr>
          <w:rFonts w:hint="eastAsia"/>
        </w:rPr>
        <w:t>判定规则</w:t>
      </w:r>
      <w:bookmarkEnd w:id="187"/>
      <w:bookmarkEnd w:id="188"/>
      <w:bookmarkEnd w:id="189"/>
      <w:bookmarkEnd w:id="190"/>
      <w:bookmarkEnd w:id="191"/>
      <w:bookmarkEnd w:id="192"/>
      <w:bookmarkEnd w:id="193"/>
      <w:bookmarkEnd w:id="194"/>
    </w:p>
    <w:p w14:paraId="0B7476C3">
      <w:pPr>
        <w:pStyle w:val="64"/>
      </w:pPr>
      <w:r>
        <w:rPr>
          <w:rFonts w:hint="eastAsia"/>
        </w:rPr>
        <w:t>抽样试验有任一项不合格时，应对不合格试验项目进行加倍抽样试验，如仍不合格，应进行100%检验，其中合格的产品可以提供交货。</w:t>
      </w:r>
    </w:p>
    <w:p w14:paraId="0DFCD08A">
      <w:pPr>
        <w:pStyle w:val="110"/>
      </w:pPr>
      <w:bookmarkStart w:id="195" w:name="_Toc19479"/>
      <w:r>
        <w:rPr>
          <w:rFonts w:hint="eastAsia"/>
        </w:rPr>
        <w:t>标识与文档</w:t>
      </w:r>
      <w:bookmarkEnd w:id="195"/>
    </w:p>
    <w:p w14:paraId="36D8F7DE">
      <w:pPr>
        <w:pStyle w:val="111"/>
        <w:spacing w:before="120" w:after="120"/>
      </w:pPr>
      <w:bookmarkStart w:id="196" w:name="_Toc214620409"/>
      <w:bookmarkStart w:id="197" w:name="_Toc17085"/>
      <w:bookmarkStart w:id="198" w:name="_Toc9048"/>
      <w:r>
        <w:rPr>
          <w:rFonts w:hint="eastAsia"/>
        </w:rPr>
        <w:t>一般标识</w:t>
      </w:r>
      <w:bookmarkEnd w:id="196"/>
      <w:bookmarkEnd w:id="197"/>
      <w:bookmarkEnd w:id="198"/>
    </w:p>
    <w:p w14:paraId="3CA9C48C">
      <w:pPr>
        <w:pStyle w:val="73"/>
        <w:spacing w:before="120" w:after="120"/>
        <w:ind w:left="0" w:leftChars="0" w:firstLineChars="0"/>
      </w:pPr>
      <w:r>
        <w:rPr>
          <w:rFonts w:hint="eastAsia"/>
        </w:rPr>
        <w:t>基本要求</w:t>
      </w:r>
    </w:p>
    <w:p w14:paraId="57E5F631">
      <w:pPr>
        <w:pStyle w:val="14"/>
        <w:spacing w:before="231" w:line="266" w:lineRule="auto"/>
        <w:ind w:right="21" w:firstLine="429"/>
        <w:rPr>
          <w:rFonts w:hint="eastAsia"/>
          <w:spacing w:val="-7"/>
        </w:rPr>
      </w:pPr>
      <w:r>
        <w:rPr>
          <w:rFonts w:hint="eastAsia"/>
          <w:spacing w:val="-1"/>
        </w:rPr>
        <w:t>固态变压器标识的图形符号应满</w:t>
      </w:r>
      <w:r>
        <w:rPr>
          <w:rFonts w:hint="eastAsia"/>
          <w:spacing w:val="-1"/>
          <w:highlight w:val="none"/>
        </w:rPr>
        <w:t>足附录</w:t>
      </w:r>
      <w:r>
        <w:rPr>
          <w:rFonts w:hint="eastAsia" w:ascii="Times New Roman" w:hAnsi="Times New Roman" w:eastAsiaTheme="minorEastAsia"/>
          <w:spacing w:val="-1"/>
          <w:highlight w:val="none"/>
        </w:rPr>
        <w:t>B</w:t>
      </w:r>
      <w:r>
        <w:rPr>
          <w:rFonts w:hint="eastAsia"/>
          <w:spacing w:val="-1"/>
          <w:highlight w:val="none"/>
        </w:rPr>
        <w:t>的</w:t>
      </w:r>
      <w:r>
        <w:rPr>
          <w:rFonts w:hint="eastAsia"/>
          <w:spacing w:val="-1"/>
        </w:rPr>
        <w:t>相关要求，随固态变压器一起提供的文档中应包含所使</w:t>
      </w:r>
      <w:r>
        <w:rPr>
          <w:rFonts w:hint="eastAsia"/>
          <w:spacing w:val="-2"/>
        </w:rPr>
        <w:t>用的图</w:t>
      </w:r>
      <w:r>
        <w:rPr>
          <w:rFonts w:hint="eastAsia"/>
          <w:spacing w:val="-7"/>
        </w:rPr>
        <w:t>形符号的含义，固态变压器标识应清晰可见。</w:t>
      </w:r>
    </w:p>
    <w:p w14:paraId="2C228CA5">
      <w:pPr>
        <w:pStyle w:val="73"/>
        <w:spacing w:before="120" w:after="120"/>
        <w:ind w:left="0" w:leftChars="0" w:firstLineChars="0"/>
      </w:pPr>
      <w:r>
        <w:rPr>
          <w:rFonts w:hint="eastAsia"/>
        </w:rPr>
        <w:t>标识的耐久性</w:t>
      </w:r>
    </w:p>
    <w:p w14:paraId="447A5D6C">
      <w:pPr>
        <w:pStyle w:val="14"/>
        <w:spacing w:before="220" w:line="219" w:lineRule="auto"/>
        <w:ind w:left="429"/>
      </w:pPr>
      <w:r>
        <w:rPr>
          <w:rFonts w:hint="eastAsia"/>
          <w:spacing w:val="-2"/>
        </w:rPr>
        <w:t>固态变压器的标识在正常使用条件下应能保持清晰可辨。</w:t>
      </w:r>
    </w:p>
    <w:p w14:paraId="255EDD04">
      <w:pPr>
        <w:pStyle w:val="73"/>
        <w:spacing w:before="120" w:after="120"/>
        <w:ind w:left="0" w:leftChars="0" w:firstLineChars="0"/>
      </w:pPr>
      <w:r>
        <w:rPr>
          <w:rFonts w:hint="eastAsia"/>
        </w:rPr>
        <w:t>标识内容</w:t>
      </w:r>
    </w:p>
    <w:p w14:paraId="4351A1B1">
      <w:pPr>
        <w:pStyle w:val="14"/>
        <w:spacing w:before="223" w:line="219" w:lineRule="auto"/>
        <w:ind w:left="429"/>
        <w:rPr>
          <w:rFonts w:ascii="宋体" w:hAnsi="宋体" w:cs="宋体"/>
          <w:spacing w:val="-2"/>
        </w:rPr>
      </w:pPr>
      <w:r>
        <w:rPr>
          <w:rFonts w:hint="eastAsia" w:ascii="宋体" w:hAnsi="宋体" w:cs="宋体"/>
          <w:spacing w:val="-2"/>
        </w:rPr>
        <w:t>固态变压器标识应至少包含以下内容：</w:t>
      </w:r>
    </w:p>
    <w:p w14:paraId="2DB4E8D4">
      <w:pPr>
        <w:pStyle w:val="145"/>
      </w:pPr>
      <w:r>
        <w:rPr>
          <w:rFonts w:hint="eastAsia"/>
        </w:rPr>
        <w:t>固态变压器制造商的名称或商标；</w:t>
      </w:r>
    </w:p>
    <w:p w14:paraId="1054EB94">
      <w:pPr>
        <w:pStyle w:val="145"/>
      </w:pPr>
      <w:r>
        <w:rPr>
          <w:rFonts w:hint="eastAsia"/>
        </w:rPr>
        <w:t>固态变压器的型号或名称；</w:t>
      </w:r>
    </w:p>
    <w:p w14:paraId="24DE4916">
      <w:pPr>
        <w:pStyle w:val="145"/>
      </w:pPr>
      <w:r>
        <w:rPr>
          <w:rFonts w:hint="eastAsia"/>
        </w:rPr>
        <w:t>固态变压器产地、批次或日期的序列号、代码或其他标识。</w:t>
      </w:r>
    </w:p>
    <w:p w14:paraId="7EA68CEE">
      <w:pPr>
        <w:pStyle w:val="145"/>
      </w:pPr>
      <w:r>
        <w:rPr>
          <w:rFonts w:hint="eastAsia"/>
        </w:rPr>
        <w:t>输入电压、电压类型和最大连续输入电流；</w:t>
      </w:r>
    </w:p>
    <w:p w14:paraId="567992A7">
      <w:pPr>
        <w:pStyle w:val="145"/>
      </w:pPr>
      <w:r>
        <w:t>MPP</w:t>
      </w:r>
      <w:r>
        <w:rPr>
          <w:rFonts w:hint="eastAsia"/>
        </w:rPr>
        <w:t>T输入电压范围；</w:t>
      </w:r>
    </w:p>
    <w:p w14:paraId="10FBE4D1">
      <w:pPr>
        <w:pStyle w:val="145"/>
      </w:pPr>
      <w:r>
        <w:rPr>
          <w:rFonts w:hint="eastAsia"/>
        </w:rPr>
        <w:t>输出电压范围、输出频率、每相最大连续输出电流；</w:t>
      </w:r>
    </w:p>
    <w:p w14:paraId="2A85D8BB">
      <w:pPr>
        <w:pStyle w:val="145"/>
      </w:pPr>
      <w:r>
        <w:rPr>
          <w:rFonts w:hint="eastAsia"/>
        </w:rPr>
        <w:t>cosφ=1、cosφ=0.95和cosφ=0.9三种工况下的最大输出功率；</w:t>
      </w:r>
    </w:p>
    <w:p w14:paraId="6BD83740">
      <w:pPr>
        <w:pStyle w:val="145"/>
      </w:pPr>
      <w:r>
        <w:rPr>
          <w:rFonts w:hint="eastAsia"/>
        </w:rPr>
        <w:t>功率因数范围；</w:t>
      </w:r>
    </w:p>
    <w:p w14:paraId="60CC90BA">
      <w:pPr>
        <w:pStyle w:val="145"/>
      </w:pPr>
      <w:r>
        <w:t>IP</w:t>
      </w:r>
      <w:r>
        <w:rPr>
          <w:rFonts w:hint="eastAsia"/>
        </w:rPr>
        <w:t>防护等级。</w:t>
      </w:r>
    </w:p>
    <w:p w14:paraId="22D920CA">
      <w:pPr>
        <w:pStyle w:val="111"/>
        <w:spacing w:before="120" w:after="120"/>
        <w:rPr>
          <w:rFonts w:hAnsi="黑体" w:cs="黑体"/>
          <w:szCs w:val="21"/>
        </w:rPr>
      </w:pPr>
      <w:bookmarkStart w:id="199" w:name="_Toc3544"/>
      <w:bookmarkStart w:id="200" w:name="_Toc214620410"/>
      <w:bookmarkStart w:id="201" w:name="_Toc14671"/>
      <w:r>
        <w:rPr>
          <w:rFonts w:hint="eastAsia" w:hAnsi="黑体" w:cs="黑体"/>
          <w:spacing w:val="-8"/>
          <w:szCs w:val="21"/>
        </w:rPr>
        <w:t>文档</w:t>
      </w:r>
      <w:bookmarkEnd w:id="199"/>
      <w:bookmarkEnd w:id="200"/>
      <w:bookmarkEnd w:id="201"/>
    </w:p>
    <w:p w14:paraId="7ECBAA77">
      <w:pPr>
        <w:pStyle w:val="73"/>
        <w:spacing w:before="120" w:after="120"/>
        <w:ind w:left="0" w:leftChars="0" w:firstLineChars="0"/>
      </w:pPr>
      <w:r>
        <w:rPr>
          <w:rFonts w:hint="eastAsia"/>
        </w:rPr>
        <w:t>基本要求</w:t>
      </w:r>
    </w:p>
    <w:p w14:paraId="66578333">
      <w:pPr>
        <w:pStyle w:val="14"/>
        <w:spacing w:before="230" w:line="280" w:lineRule="auto"/>
        <w:ind w:right="63" w:firstLine="420"/>
      </w:pPr>
      <w:r>
        <w:rPr>
          <w:rFonts w:hint="eastAsia"/>
          <w:spacing w:val="2"/>
        </w:rPr>
        <w:t>与固态变压器一起提供的文档应包含固态变压器操作、安装和维护(如适用)的相关信息：</w:t>
      </w:r>
      <w:r>
        <w:rPr>
          <w:rFonts w:hint="eastAsia"/>
        </w:rPr>
        <w:t>解释设备上的标识，包括所用的符号。</w:t>
      </w:r>
    </w:p>
    <w:p w14:paraId="465131FD">
      <w:pPr>
        <w:pStyle w:val="180"/>
        <w:numPr>
          <w:ilvl w:val="0"/>
          <w:numId w:val="55"/>
        </w:numPr>
      </w:pPr>
      <w:r>
        <w:rPr>
          <w:rFonts w:hint="eastAsia"/>
        </w:rPr>
        <w:t>端子和控制器的位置和功能。</w:t>
      </w:r>
    </w:p>
    <w:p w14:paraId="33F7976B">
      <w:pPr>
        <w:pStyle w:val="180"/>
        <w:numPr>
          <w:ilvl w:val="0"/>
          <w:numId w:val="55"/>
        </w:numPr>
      </w:pPr>
      <w:r>
        <w:rPr>
          <w:rFonts w:hint="eastAsia"/>
        </w:rPr>
        <w:t>固态变压器的额定参数，包括以下环境参数，并解释其含义及影响：</w:t>
      </w:r>
    </w:p>
    <w:p w14:paraId="3C78BBEA">
      <w:pPr>
        <w:pStyle w:val="145"/>
      </w:pPr>
      <w:r>
        <w:rPr>
          <w:rFonts w:hint="eastAsia"/>
        </w:rPr>
        <w:t>环境分类；</w:t>
      </w:r>
    </w:p>
    <w:p w14:paraId="7ECDC3E4">
      <w:pPr>
        <w:pStyle w:val="145"/>
      </w:pPr>
      <w:r>
        <w:rPr>
          <w:rFonts w:hint="eastAsia"/>
        </w:rPr>
        <w:t>潮湿场所分类；</w:t>
      </w:r>
    </w:p>
    <w:p w14:paraId="36E0F166">
      <w:pPr>
        <w:pStyle w:val="145"/>
      </w:pPr>
      <w:r>
        <w:rPr>
          <w:rFonts w:hint="eastAsia"/>
        </w:rPr>
        <w:t>预置外部环境的污染等级；</w:t>
      </w:r>
    </w:p>
    <w:p w14:paraId="6E999B5C">
      <w:pPr>
        <w:pStyle w:val="145"/>
      </w:pPr>
      <w:r>
        <w:rPr>
          <w:rFonts w:hint="eastAsia"/>
        </w:rPr>
        <w:t>额定</w:t>
      </w:r>
      <w:r>
        <w:t>IP</w:t>
      </w:r>
      <w:r>
        <w:rPr>
          <w:rFonts w:hint="eastAsia"/>
        </w:rPr>
        <w:t>防护等级；</w:t>
      </w:r>
    </w:p>
    <w:p w14:paraId="15EA194D">
      <w:pPr>
        <w:pStyle w:val="145"/>
      </w:pPr>
      <w:r>
        <w:rPr>
          <w:rFonts w:hint="eastAsia"/>
        </w:rPr>
        <w:t>额定环境温度和相对湿度；</w:t>
      </w:r>
    </w:p>
    <w:p w14:paraId="50D962A2">
      <w:pPr>
        <w:pStyle w:val="145"/>
      </w:pPr>
      <w:r>
        <w:rPr>
          <w:rFonts w:hint="eastAsia"/>
        </w:rPr>
        <w:t>最大海拔高度；</w:t>
      </w:r>
    </w:p>
    <w:p w14:paraId="3EA9BB84">
      <w:pPr>
        <w:pStyle w:val="145"/>
      </w:pPr>
      <w:r>
        <w:rPr>
          <w:rFonts w:hint="eastAsia"/>
        </w:rPr>
        <w:t>输入输出端口的过电压分类。</w:t>
      </w:r>
    </w:p>
    <w:p w14:paraId="108B888E">
      <w:pPr>
        <w:pStyle w:val="180"/>
        <w:numPr>
          <w:ilvl w:val="0"/>
          <w:numId w:val="55"/>
        </w:numPr>
      </w:pPr>
      <w:r>
        <w:rPr>
          <w:rFonts w:hint="eastAsia"/>
        </w:rPr>
        <w:t>光伏阵列受到光照后会向固态变压器提供直流电压的警告。</w:t>
      </w:r>
    </w:p>
    <w:p w14:paraId="54025BA5">
      <w:pPr>
        <w:pStyle w:val="73"/>
        <w:spacing w:before="120" w:after="120"/>
        <w:ind w:left="0" w:leftChars="0" w:firstLineChars="0"/>
      </w:pPr>
      <w:r>
        <w:rPr>
          <w:rFonts w:hint="eastAsia"/>
        </w:rPr>
        <w:t>格式</w:t>
      </w:r>
    </w:p>
    <w:p w14:paraId="79829B49">
      <w:pPr>
        <w:pStyle w:val="14"/>
        <w:spacing w:before="247" w:line="219" w:lineRule="auto"/>
        <w:ind w:left="420"/>
      </w:pPr>
      <w:r>
        <w:rPr>
          <w:rFonts w:hint="eastAsia"/>
          <w:spacing w:val="-3"/>
        </w:rPr>
        <w:t>文档可采用纸质文档或电子文档。</w:t>
      </w:r>
    </w:p>
    <w:p w14:paraId="228C3143">
      <w:pPr>
        <w:pStyle w:val="73"/>
        <w:spacing w:before="120" w:after="120"/>
        <w:ind w:left="0" w:leftChars="0" w:firstLineChars="0"/>
      </w:pPr>
      <w:r>
        <w:rPr>
          <w:rFonts w:hint="eastAsia"/>
        </w:rPr>
        <w:t>安装说明</w:t>
      </w:r>
    </w:p>
    <w:p w14:paraId="774AA6FC">
      <w:pPr>
        <w:pStyle w:val="14"/>
        <w:spacing w:before="243" w:line="219" w:lineRule="auto"/>
        <w:ind w:left="420"/>
      </w:pPr>
      <w:r>
        <w:rPr>
          <w:rFonts w:hint="eastAsia"/>
          <w:spacing w:val="-7"/>
        </w:rPr>
        <w:t>文档要包括安装与调试说明，对于安装和调试过程中可能产生的危险，应给出警示。</w:t>
      </w:r>
    </w:p>
    <w:p w14:paraId="05F514FA">
      <w:pPr>
        <w:pStyle w:val="73"/>
        <w:spacing w:before="120" w:after="120"/>
        <w:ind w:left="0" w:leftChars="0" w:firstLineChars="0"/>
      </w:pPr>
      <w:r>
        <w:rPr>
          <w:rFonts w:hint="eastAsia"/>
        </w:rPr>
        <w:t>操作说明书</w:t>
      </w:r>
    </w:p>
    <w:p w14:paraId="26325F03">
      <w:pPr>
        <w:pStyle w:val="14"/>
        <w:spacing w:before="252" w:line="219" w:lineRule="auto"/>
        <w:ind w:left="420"/>
      </w:pPr>
      <w:r>
        <w:rPr>
          <w:rFonts w:hint="eastAsia"/>
          <w:spacing w:val="-1"/>
        </w:rPr>
        <w:t>操作说明书应包括所有保证安全操作的必要信息并包含以下内容：</w:t>
      </w:r>
    </w:p>
    <w:p w14:paraId="7573C5A9">
      <w:pPr>
        <w:pStyle w:val="180"/>
        <w:numPr>
          <w:ilvl w:val="0"/>
          <w:numId w:val="56"/>
        </w:numPr>
      </w:pPr>
      <w:r>
        <w:rPr>
          <w:rFonts w:hint="eastAsia"/>
        </w:rPr>
        <w:t>控制器的设置、调整方法以及调整效果的说明；</w:t>
      </w:r>
    </w:p>
    <w:p w14:paraId="7572E0D9">
      <w:pPr>
        <w:pStyle w:val="180"/>
        <w:numPr>
          <w:ilvl w:val="0"/>
          <w:numId w:val="55"/>
        </w:numPr>
      </w:pPr>
      <w:r>
        <w:rPr>
          <w:rFonts w:hint="eastAsia"/>
        </w:rPr>
        <w:t>连接附件和其他设备的说明，并明确适用的附件、可拆卸零部件和专用材料；</w:t>
      </w:r>
    </w:p>
    <w:p w14:paraId="5328D9CB">
      <w:pPr>
        <w:pStyle w:val="180"/>
        <w:numPr>
          <w:ilvl w:val="0"/>
          <w:numId w:val="55"/>
        </w:numPr>
      </w:pPr>
      <w:r>
        <w:rPr>
          <w:rFonts w:hint="eastAsia"/>
        </w:rPr>
        <w:t>表面温度允许超过限值的可能导致烫伤危险的警告，以及要求操作者采取的降低风险的措施；</w:t>
      </w:r>
    </w:p>
    <w:p w14:paraId="61382F6A">
      <w:pPr>
        <w:pStyle w:val="180"/>
        <w:numPr>
          <w:ilvl w:val="0"/>
          <w:numId w:val="55"/>
        </w:numPr>
      </w:pPr>
      <w:r>
        <w:rPr>
          <w:rFonts w:hint="eastAsia"/>
        </w:rPr>
        <w:t>固态变压器没有按照规定的方式使用时其保护措施可能失效的说明；</w:t>
      </w:r>
    </w:p>
    <w:p w14:paraId="437FDA36">
      <w:pPr>
        <w:pStyle w:val="180"/>
        <w:numPr>
          <w:ilvl w:val="0"/>
          <w:numId w:val="55"/>
        </w:numPr>
      </w:pPr>
      <w:r>
        <w:rPr>
          <w:rFonts w:hint="eastAsia"/>
        </w:rPr>
        <w:t>运动部件操作的技术要求。</w:t>
      </w:r>
    </w:p>
    <w:p w14:paraId="1AE32841">
      <w:pPr>
        <w:pStyle w:val="73"/>
        <w:spacing w:before="120" w:after="120"/>
        <w:ind w:left="0" w:leftChars="0" w:firstLineChars="0"/>
      </w:pPr>
      <w:r>
        <w:rPr>
          <w:rFonts w:hint="eastAsia"/>
        </w:rPr>
        <w:t>维护说明书</w:t>
      </w:r>
    </w:p>
    <w:p w14:paraId="178C08E7">
      <w:pPr>
        <w:pStyle w:val="14"/>
        <w:spacing w:before="282" w:line="219" w:lineRule="auto"/>
        <w:ind w:left="420"/>
      </w:pPr>
      <w:r>
        <w:rPr>
          <w:rFonts w:hint="eastAsia"/>
          <w:spacing w:val="-3"/>
        </w:rPr>
        <w:t>维护说明书包括以下信息：</w:t>
      </w:r>
    </w:p>
    <w:p w14:paraId="723E3DBD">
      <w:pPr>
        <w:pStyle w:val="180"/>
        <w:numPr>
          <w:ilvl w:val="0"/>
          <w:numId w:val="57"/>
        </w:numPr>
      </w:pPr>
      <w:r>
        <w:rPr>
          <w:rFonts w:hint="eastAsia"/>
        </w:rPr>
        <w:t>定期维护的周期和说明；</w:t>
      </w:r>
    </w:p>
    <w:p w14:paraId="58D361DC">
      <w:pPr>
        <w:pStyle w:val="180"/>
        <w:numPr>
          <w:ilvl w:val="0"/>
          <w:numId w:val="55"/>
        </w:numPr>
      </w:pPr>
      <w:r>
        <w:rPr>
          <w:rFonts w:hint="eastAsia"/>
        </w:rPr>
        <w:t>进入操作者接触区的说明，包括不要进入设备其他区域的警告；</w:t>
      </w:r>
    </w:p>
    <w:p w14:paraId="405E2BD5">
      <w:pPr>
        <w:pStyle w:val="180"/>
        <w:numPr>
          <w:ilvl w:val="0"/>
          <w:numId w:val="55"/>
        </w:numPr>
      </w:pPr>
      <w:r>
        <w:rPr>
          <w:rFonts w:hint="eastAsia"/>
        </w:rPr>
        <w:t>零部件的编号和说明；</w:t>
      </w:r>
    </w:p>
    <w:p w14:paraId="77C46E55">
      <w:pPr>
        <w:pStyle w:val="180"/>
        <w:numPr>
          <w:ilvl w:val="0"/>
          <w:numId w:val="55"/>
        </w:numPr>
      </w:pPr>
      <w:r>
        <w:rPr>
          <w:rFonts w:hint="eastAsia"/>
        </w:rPr>
        <w:t>安全的清洁方式；</w:t>
      </w:r>
    </w:p>
    <w:p w14:paraId="45C9988E">
      <w:pPr>
        <w:pStyle w:val="180"/>
        <w:numPr>
          <w:ilvl w:val="0"/>
          <w:numId w:val="55"/>
        </w:numPr>
      </w:pPr>
      <w:r>
        <w:rPr>
          <w:rFonts w:hint="eastAsia"/>
        </w:rPr>
        <w:t>开关设备断开次序。</w:t>
      </w:r>
    </w:p>
    <w:p w14:paraId="61EE6C28">
      <w:pPr>
        <w:pStyle w:val="110"/>
      </w:pPr>
      <w:bookmarkStart w:id="202" w:name="_Toc26878"/>
      <w:r>
        <w:rPr>
          <w:rFonts w:hint="eastAsia"/>
        </w:rPr>
        <w:t>包装、运输和贮存</w:t>
      </w:r>
      <w:bookmarkEnd w:id="202"/>
    </w:p>
    <w:p w14:paraId="12B81BF1">
      <w:pPr>
        <w:pStyle w:val="111"/>
        <w:spacing w:before="120" w:after="120"/>
      </w:pPr>
      <w:bookmarkStart w:id="203" w:name="_Toc2833"/>
      <w:bookmarkStart w:id="204" w:name="_Toc214620412"/>
      <w:bookmarkStart w:id="205" w:name="_Toc1360"/>
      <w:r>
        <w:rPr>
          <w:rFonts w:hint="eastAsia"/>
        </w:rPr>
        <w:t>包装</w:t>
      </w:r>
      <w:bookmarkEnd w:id="203"/>
      <w:bookmarkEnd w:id="204"/>
      <w:bookmarkEnd w:id="205"/>
    </w:p>
    <w:p w14:paraId="3C14A51F">
      <w:pPr>
        <w:pStyle w:val="171"/>
        <w:ind w:left="0" w:leftChars="0" w:firstLineChars="0"/>
      </w:pPr>
      <w:r>
        <w:rPr>
          <w:rFonts w:hint="eastAsia"/>
        </w:rPr>
        <w:t>成套设备可以功率模块为单元，分体包装和运输。</w:t>
      </w:r>
    </w:p>
    <w:p w14:paraId="7F0F756B">
      <w:pPr>
        <w:pStyle w:val="171"/>
        <w:ind w:left="0" w:leftChars="0" w:firstLineChars="0"/>
      </w:pPr>
      <w:r>
        <w:rPr>
          <w:rFonts w:hint="eastAsia"/>
        </w:rPr>
        <w:t>包装箱应具备防水、防潮、防震措施。</w:t>
      </w:r>
    </w:p>
    <w:p w14:paraId="0F187DF0">
      <w:pPr>
        <w:pStyle w:val="171"/>
        <w:ind w:left="0" w:leftChars="0" w:firstLineChars="0"/>
      </w:pPr>
      <w:r>
        <w:rPr>
          <w:rFonts w:hint="eastAsia"/>
        </w:rPr>
        <w:t>包装箱外部应有“小心轻放”、“不准倒置”等明显标志和符号。</w:t>
      </w:r>
    </w:p>
    <w:p w14:paraId="39A4219A">
      <w:pPr>
        <w:pStyle w:val="111"/>
        <w:spacing w:before="120" w:after="120"/>
        <w:rPr>
          <w:b w:val="0"/>
          <w:bCs w:val="0"/>
          <w:color w:val="auto"/>
          <w:highlight w:val="none"/>
        </w:rPr>
      </w:pPr>
      <w:bookmarkStart w:id="206" w:name="_Toc214620413"/>
      <w:bookmarkStart w:id="207" w:name="_Toc25974"/>
      <w:bookmarkStart w:id="208" w:name="_Toc28155"/>
      <w:r>
        <w:rPr>
          <w:rFonts w:hint="eastAsia"/>
          <w:b w:val="0"/>
          <w:bCs w:val="0"/>
          <w:color w:val="auto"/>
          <w:highlight w:val="none"/>
        </w:rPr>
        <w:t>运输</w:t>
      </w:r>
      <w:bookmarkEnd w:id="206"/>
      <w:bookmarkEnd w:id="207"/>
      <w:bookmarkEnd w:id="208"/>
    </w:p>
    <w:p w14:paraId="2CE1A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420" w:firstLineChars="200"/>
        <w:jc w:val="left"/>
        <w:rPr>
          <w:rFonts w:hint="eastAsia"/>
          <w:b w:val="0"/>
          <w:bCs w:val="0"/>
          <w:color w:val="auto"/>
          <w:highlight w:val="none"/>
        </w:rPr>
      </w:pPr>
      <w:r>
        <w:rPr>
          <w:rFonts w:hint="eastAsia" w:ascii="宋体" w:hAnsi="Times New Roman" w:eastAsia="宋体" w:cs="Times New Roman"/>
          <w:b w:val="0"/>
          <w:bCs w:val="0"/>
          <w:color w:val="auto"/>
          <w:kern w:val="0"/>
          <w:sz w:val="21"/>
          <w:szCs w:val="20"/>
          <w:highlight w:val="none"/>
          <w:lang w:val="en-US" w:eastAsia="zh-CN" w:bidi="ar-SA"/>
        </w:rPr>
        <w:t>运输过程中不应有剧烈振动和冲击，产品不应有倾斜和倒置。运输环境温度范围为- 40℃</w:t>
      </w:r>
      <w:r>
        <w:rPr>
          <w:rFonts w:hint="eastAsia" w:ascii="宋体" w:hAnsi="Times New Roman" w:cs="Times New Roman"/>
          <w:b w:val="0"/>
          <w:bCs w:val="0"/>
          <w:color w:val="auto"/>
          <w:kern w:val="0"/>
          <w:sz w:val="21"/>
          <w:szCs w:val="20"/>
          <w:highlight w:val="none"/>
          <w:lang w:val="en-US" w:eastAsia="zh-CN" w:bidi="ar-SA"/>
        </w:rPr>
        <w:t>～</w:t>
      </w:r>
      <w:r>
        <w:rPr>
          <w:rFonts w:hint="eastAsia" w:ascii="宋体" w:hAnsi="Times New Roman" w:eastAsia="宋体" w:cs="Times New Roman"/>
          <w:b w:val="0"/>
          <w:bCs w:val="0"/>
          <w:color w:val="auto"/>
          <w:kern w:val="0"/>
          <w:sz w:val="21"/>
          <w:szCs w:val="20"/>
          <w:highlight w:val="none"/>
          <w:lang w:val="en-US" w:eastAsia="zh-CN" w:bidi="ar-SA"/>
        </w:rPr>
        <w:t>+70℃，相对湿度不超过 95%，运输过程中应避免雨雪直接淋溅。</w:t>
      </w:r>
    </w:p>
    <w:p w14:paraId="46FA7AF6">
      <w:pPr>
        <w:pStyle w:val="111"/>
        <w:spacing w:before="120" w:after="120"/>
        <w:rPr>
          <w:rFonts w:hint="eastAsia" w:ascii="宋体" w:hAnsi="Times New Roman" w:eastAsia="宋体" w:cs="Times New Roman"/>
          <w:b/>
          <w:bCs/>
          <w:color w:val="C00000"/>
          <w:kern w:val="0"/>
          <w:sz w:val="21"/>
          <w:szCs w:val="20"/>
          <w:highlight w:val="none"/>
          <w:lang w:val="en-US" w:eastAsia="zh-CN" w:bidi="ar-SA"/>
        </w:rPr>
      </w:pPr>
      <w:bookmarkStart w:id="209" w:name="_Toc214620414"/>
      <w:bookmarkStart w:id="210" w:name="_Toc22634"/>
      <w:bookmarkStart w:id="211" w:name="_Toc26183"/>
      <w:r>
        <w:rPr>
          <w:rFonts w:hint="eastAsia"/>
          <w:highlight w:val="none"/>
        </w:rPr>
        <w:t>贮存</w:t>
      </w:r>
      <w:bookmarkEnd w:id="209"/>
      <w:bookmarkEnd w:id="210"/>
      <w:bookmarkEnd w:id="211"/>
    </w:p>
    <w:p w14:paraId="384EB3A3">
      <w:pPr>
        <w:pStyle w:val="171"/>
        <w:ind w:left="0" w:leftChars="0" w:firstLineChars="0"/>
        <w:rPr>
          <w:highlight w:val="none"/>
        </w:rPr>
      </w:pPr>
      <w:r>
        <w:rPr>
          <w:rFonts w:hint="eastAsia"/>
          <w:highlight w:val="none"/>
        </w:rPr>
        <w:t>产品应贮存在通风干燥处，不应受潮、挤压及腐蚀。贮存环境温度范围为 - 40℃~+70℃，相对湿度不超过 85%，贮存期限超过 6 个月时，应每月进行一次外观检查和绝缘电阻测试，绝缘电阻应不低于 10MΩ。</w:t>
      </w:r>
    </w:p>
    <w:p w14:paraId="3E4E3D1F">
      <w:pPr>
        <w:pStyle w:val="171"/>
        <w:ind w:left="0" w:leftChars="0" w:firstLineChars="0"/>
        <w:rPr>
          <w:highlight w:val="none"/>
        </w:rPr>
      </w:pPr>
      <w:r>
        <w:rPr>
          <w:rFonts w:hint="eastAsia"/>
          <w:highlight w:val="none"/>
        </w:rPr>
        <w:t>如采用</w:t>
      </w:r>
      <w:r>
        <w:rPr>
          <w:rFonts w:hint="eastAsia"/>
          <w:highlight w:val="none"/>
          <w:lang w:val="en-US" w:eastAsia="zh-CN"/>
        </w:rPr>
        <w:t>液冷</w:t>
      </w:r>
      <w:r>
        <w:rPr>
          <w:rFonts w:hint="eastAsia"/>
          <w:highlight w:val="none"/>
        </w:rPr>
        <w:t>系统，贮存前应排除残留的冷却水。</w:t>
      </w:r>
    </w:p>
    <w:p w14:paraId="5A8B9DFC">
      <w:pPr>
        <w:pStyle w:val="171"/>
        <w:ind w:left="0" w:leftChars="0" w:firstLineChars="0"/>
      </w:pPr>
      <w:r>
        <w:br w:type="page"/>
      </w:r>
    </w:p>
    <w:tbl>
      <w:tblPr>
        <w:tblStyle w:val="29"/>
        <w:tblW w:w="9482" w:type="dxa"/>
        <w:tblInd w:w="91" w:type="dxa"/>
        <w:tblLayout w:type="fixed"/>
        <w:tblCellMar>
          <w:top w:w="0" w:type="dxa"/>
          <w:left w:w="108" w:type="dxa"/>
          <w:bottom w:w="0" w:type="dxa"/>
          <w:right w:w="108" w:type="dxa"/>
        </w:tblCellMar>
      </w:tblPr>
      <w:tblGrid>
        <w:gridCol w:w="9482"/>
      </w:tblGrid>
      <w:tr w14:paraId="3E696F1C">
        <w:tblPrEx>
          <w:tblCellMar>
            <w:top w:w="0" w:type="dxa"/>
            <w:left w:w="108" w:type="dxa"/>
            <w:bottom w:w="0" w:type="dxa"/>
            <w:right w:w="108" w:type="dxa"/>
          </w:tblCellMar>
        </w:tblPrEx>
        <w:trPr>
          <w:trHeight w:val="870" w:hRule="atLeast"/>
        </w:trPr>
        <w:tc>
          <w:tcPr>
            <w:tcW w:w="9482" w:type="dxa"/>
            <w:tcBorders>
              <w:top w:val="nil"/>
              <w:left w:val="nil"/>
              <w:bottom w:val="nil"/>
              <w:right w:val="nil"/>
              <w:tl2br w:val="nil"/>
              <w:tr2bl w:val="nil"/>
            </w:tcBorders>
            <w:vAlign w:val="center"/>
          </w:tcPr>
          <w:p w14:paraId="3938B094">
            <w:pPr>
              <w:pStyle w:val="84"/>
              <w:spacing w:before="60" w:after="120"/>
              <w:rPr>
                <w:szCs w:val="24"/>
              </w:rPr>
            </w:pPr>
            <w:bookmarkStart w:id="212" w:name="_Toc25837"/>
            <w:bookmarkEnd w:id="212"/>
          </w:p>
          <w:p w14:paraId="4EDAE40C">
            <w:pPr>
              <w:pStyle w:val="176"/>
              <w:rPr>
                <w:szCs w:val="24"/>
              </w:rPr>
            </w:pPr>
            <w:r>
              <w:rPr>
                <w:rFonts w:hint="eastAsia"/>
                <w:szCs w:val="24"/>
              </w:rPr>
              <w:t>(规范性附录)</w:t>
            </w:r>
          </w:p>
          <w:p w14:paraId="3E6B88BC">
            <w:pPr>
              <w:pStyle w:val="176"/>
              <w:rPr>
                <w:rFonts w:hAnsi="宋体" w:cs="黑体"/>
                <w:b/>
                <w:color w:val="000000"/>
                <w:szCs w:val="26"/>
                <w:lang w:bidi="ar"/>
              </w:rPr>
            </w:pPr>
            <w:r>
              <w:rPr>
                <w:rFonts w:hint="eastAsia"/>
                <w:szCs w:val="24"/>
              </w:rPr>
              <w:t>拓扑结构图</w:t>
            </w:r>
            <w:r>
              <w:rPr>
                <w:rFonts w:hint="eastAsia"/>
                <w:szCs w:val="24"/>
                <w:highlight w:val="none"/>
              </w:rPr>
              <w:t>（除了级联H桥、MMC，是否考虑光伏低压隔离升压中压直流，再通过MMC并网）</w:t>
            </w:r>
          </w:p>
        </w:tc>
      </w:tr>
      <w:tr w14:paraId="4F81B246">
        <w:tblPrEx>
          <w:tblCellMar>
            <w:top w:w="0" w:type="dxa"/>
            <w:left w:w="108" w:type="dxa"/>
            <w:bottom w:w="0" w:type="dxa"/>
            <w:right w:w="108" w:type="dxa"/>
          </w:tblCellMar>
        </w:tblPrEx>
        <w:trPr>
          <w:trHeight w:val="870" w:hRule="atLeast"/>
        </w:trPr>
        <w:tc>
          <w:tcPr>
            <w:tcW w:w="9482" w:type="dxa"/>
            <w:tcBorders>
              <w:top w:val="nil"/>
              <w:left w:val="nil"/>
              <w:bottom w:val="nil"/>
              <w:right w:val="nil"/>
              <w:tl2br w:val="nil"/>
              <w:tr2bl w:val="nil"/>
            </w:tcBorders>
            <w:vAlign w:val="center"/>
          </w:tcPr>
          <w:p w14:paraId="70194B8B">
            <w:pPr>
              <w:pStyle w:val="176"/>
              <w:rPr>
                <w:szCs w:val="24"/>
              </w:rPr>
            </w:pPr>
          </w:p>
          <w:p w14:paraId="13AB6E6E">
            <w:pPr>
              <w:pStyle w:val="176"/>
              <w:rPr>
                <w:szCs w:val="24"/>
              </w:rPr>
            </w:pPr>
            <w:r>
              <w:rPr>
                <w:szCs w:val="24"/>
              </w:rPr>
              <w:object>
                <v:shape id="_x0000_i1025" o:spt="75" type="#_x0000_t75" style="height:305.2pt;width:462.9pt;" o:ole="t" filled="f" o:preferrelative="t" stroked="f" coordsize="21600,21600">
                  <v:path/>
                  <v:fill on="f" focussize="0,0"/>
                  <v:stroke on="f"/>
                  <v:imagedata r:id="rId27" o:title=""/>
                  <o:lock v:ext="edit" aspectratio="f"/>
                  <w10:wrap type="none"/>
                  <w10:anchorlock/>
                </v:shape>
                <o:OLEObject Type="Embed" ProgID="Visio.Drawing.15" ShapeID="_x0000_i1025" DrawAspect="Content" ObjectID="_1468075725" r:id="rId26">
                  <o:LockedField>false</o:LockedField>
                </o:OLEObject>
              </w:object>
            </w:r>
          </w:p>
          <w:p w14:paraId="173D8838">
            <w:pPr>
              <w:pStyle w:val="176"/>
              <w:rPr>
                <w:szCs w:val="24"/>
              </w:rPr>
            </w:pPr>
          </w:p>
          <w:p w14:paraId="54ADECE4">
            <w:pPr>
              <w:pStyle w:val="176"/>
              <w:rPr>
                <w:szCs w:val="24"/>
              </w:rPr>
            </w:pPr>
            <w:r>
              <w:rPr>
                <w:rFonts w:hint="eastAsia"/>
                <w:szCs w:val="24"/>
              </w:rPr>
              <w:t>其中.DCDC可以采用移相DAB结构或谐振DAB结构，</w:t>
            </w:r>
          </w:p>
          <w:p w14:paraId="664F6C73">
            <w:pPr>
              <w:pStyle w:val="176"/>
              <w:rPr>
                <w:rFonts w:ascii="Times New Roman" w:eastAsia="宋体"/>
              </w:rPr>
            </w:pPr>
            <w:r>
              <w:rPr>
                <w:rFonts w:ascii="Times New Roman" w:eastAsia="宋体"/>
              </w:rPr>
              <w:object>
                <v:shape id="_x0000_i1026" o:spt="75" type="#_x0000_t75" style="height:123.15pt;width:275.45pt;" o:ole="t" filled="f" o:preferrelative="t" stroked="f" coordsize="21600,21600">
                  <v:path/>
                  <v:fill on="f" focussize="0,0"/>
                  <v:stroke on="f"/>
                  <v:imagedata r:id="rId29" cropleft="3638f" cropright="3743f" cropbottom="7135f" o:title=""/>
                  <o:lock v:ext="edit" aspectratio="f"/>
                  <w10:wrap type="none"/>
                  <w10:anchorlock/>
                </v:shape>
                <o:OLEObject Type="Embed" ProgID="Visio.Drawing.11" ShapeID="_x0000_i1026" DrawAspect="Content" ObjectID="_1468075726" r:id="rId28">
                  <o:LockedField>false</o:LockedField>
                </o:OLEObject>
              </w:object>
            </w:r>
          </w:p>
          <w:p w14:paraId="31D90378">
            <w:pPr>
              <w:pStyle w:val="176"/>
              <w:rPr>
                <w:rFonts w:ascii="Times New Roman" w:eastAsia="宋体"/>
              </w:rPr>
            </w:pPr>
            <w:r>
              <w:rPr>
                <w:rFonts w:hint="eastAsia" w:ascii="Times New Roman" w:eastAsia="宋体"/>
                <w:lang w:val="en-US" w:eastAsia="zh-CN"/>
              </w:rPr>
              <w:t>基于IGBT器件的两电平</w:t>
            </w:r>
            <w:r>
              <w:rPr>
                <w:rFonts w:hint="eastAsia" w:ascii="Times New Roman" w:eastAsia="宋体"/>
              </w:rPr>
              <w:t>移相DAB型DCDC</w:t>
            </w:r>
          </w:p>
          <w:p w14:paraId="4C8186AC">
            <w:pPr>
              <w:pStyle w:val="176"/>
              <w:rPr>
                <w:rFonts w:ascii="Times New Roman" w:eastAsia="宋体"/>
              </w:rPr>
            </w:pPr>
            <w:r>
              <w:rPr>
                <w:rFonts w:ascii="Times New Roman" w:eastAsia="宋体"/>
              </w:rPr>
              <w:object>
                <v:shape id="_x0000_i1027" o:spt="75" type="#_x0000_t75" style="height:122.75pt;width:286.85pt;" o:ole="t" filled="f" o:preferrelative="t" stroked="f" coordsize="21600,21600">
                  <v:path/>
                  <v:fill on="f" focussize="0,0"/>
                  <v:stroke on="f" joinstyle="miter"/>
                  <v:imagedata r:id="rId31" cropleft="-311f" cropright="-106f" cropbottom="2113f" o:title=""/>
                  <o:lock v:ext="edit" aspectratio="f"/>
                  <w10:wrap type="none"/>
                  <w10:anchorlock/>
                </v:shape>
                <o:OLEObject Type="Embed" ProgID="Visio.Drawing.11" ShapeID="_x0000_i1027" DrawAspect="Content" ObjectID="_1468075727" r:id="rId30">
                  <o:LockedField>false</o:LockedField>
                </o:OLEObject>
              </w:object>
            </w:r>
          </w:p>
        </w:tc>
      </w:tr>
    </w:tbl>
    <w:p w14:paraId="05BE6ABD">
      <w:pPr>
        <w:pStyle w:val="176"/>
        <w:rPr>
          <w:rFonts w:hint="eastAsia" w:ascii="Times New Roman" w:eastAsia="宋体"/>
        </w:rPr>
      </w:pPr>
      <w:r>
        <w:rPr>
          <w:rFonts w:hint="eastAsia" w:ascii="Times New Roman" w:eastAsia="宋体"/>
          <w:lang w:val="en-US" w:eastAsia="zh-CN"/>
        </w:rPr>
        <w:t>基于IGBT器件的两电平</w:t>
      </w:r>
      <w:r>
        <w:rPr>
          <w:rFonts w:hint="eastAsia" w:ascii="Times New Roman" w:eastAsia="宋体"/>
        </w:rPr>
        <w:t>谐振DAB型DCDC</w:t>
      </w:r>
    </w:p>
    <w:p w14:paraId="7FFB2B31">
      <w:pPr>
        <w:pStyle w:val="176"/>
        <w:rPr>
          <w:rFonts w:hint="eastAsia" w:ascii="Times New Roman" w:eastAsia="宋体"/>
        </w:rPr>
      </w:pPr>
      <w:bookmarkStart w:id="213" w:name="OLE_LINK4"/>
      <w:r>
        <w:object>
          <v:shape id="_x0000_i1028" o:spt="75" type="#_x0000_t75" style="height:133.6pt;width:415.05pt;" o:ole="t" filled="f" o:preferrelative="t" stroked="f" coordsize="21600,21600">
            <v:path/>
            <v:fill on="f" focussize="0,0"/>
            <v:stroke on="f"/>
            <v:imagedata r:id="rId33" o:title=""/>
            <o:lock v:ext="edit" aspectratio="t"/>
            <w10:wrap type="none"/>
            <w10:anchorlock/>
          </v:shape>
          <o:OLEObject Type="Embed" ProgID="Visio.Drawing.11" ShapeID="_x0000_i1028" DrawAspect="Content" ObjectID="_1468075728" r:id="rId32">
            <o:LockedField>false</o:LockedField>
          </o:OLEObject>
        </w:object>
      </w:r>
      <w:bookmarkEnd w:id="213"/>
    </w:p>
    <w:p w14:paraId="06AC6A6B">
      <w:pPr>
        <w:pStyle w:val="176"/>
        <w:rPr>
          <w:rFonts w:hint="eastAsia" w:ascii="Times New Roman" w:eastAsia="宋体"/>
          <w:lang w:eastAsia="zh-CN"/>
        </w:rPr>
      </w:pPr>
      <w:r>
        <w:rPr>
          <w:rFonts w:hint="eastAsia" w:ascii="Times New Roman" w:eastAsia="宋体"/>
          <w:lang w:val="en-US" w:eastAsia="zh-CN"/>
        </w:rPr>
        <w:t>基于SiC器件的两电平</w:t>
      </w:r>
      <w:r>
        <w:rPr>
          <w:rFonts w:hint="eastAsia" w:ascii="Times New Roman" w:eastAsia="宋体"/>
        </w:rPr>
        <w:t>谐振DAB型DCDC</w:t>
      </w:r>
      <w:r>
        <w:rPr>
          <w:rFonts w:hint="eastAsia" w:ascii="Times New Roman" w:eastAsia="宋体"/>
          <w:lang w:eastAsia="zh-CN"/>
        </w:rPr>
        <w:t>（</w:t>
      </w:r>
      <w:r>
        <w:rPr>
          <w:rFonts w:hint="eastAsia" w:ascii="Times New Roman" w:eastAsia="宋体"/>
          <w:lang w:val="en-US" w:eastAsia="zh-CN"/>
        </w:rPr>
        <w:t>交流侧级联模块采用两电平结构</w:t>
      </w:r>
      <w:r>
        <w:rPr>
          <w:rFonts w:hint="eastAsia" w:ascii="Times New Roman" w:eastAsia="宋体"/>
          <w:lang w:eastAsia="zh-CN"/>
        </w:rPr>
        <w:t>）</w:t>
      </w:r>
    </w:p>
    <w:p w14:paraId="755A206E">
      <w:pPr>
        <w:pStyle w:val="176"/>
        <w:rPr>
          <w:rFonts w:hint="eastAsia" w:ascii="Times New Roman" w:eastAsia="宋体"/>
        </w:rPr>
      </w:pPr>
    </w:p>
    <w:p w14:paraId="78645A0B">
      <w:pPr>
        <w:pStyle w:val="176"/>
      </w:pPr>
      <w:r>
        <w:drawing>
          <wp:inline distT="0" distB="0" distL="0" distR="0">
            <wp:extent cx="5274310" cy="2378710"/>
            <wp:effectExtent l="0" t="0" r="2540"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4"/>
                    <a:stretch>
                      <a:fillRect/>
                    </a:stretch>
                  </pic:blipFill>
                  <pic:spPr>
                    <a:xfrm>
                      <a:off x="0" y="0"/>
                      <a:ext cx="5274310" cy="2378934"/>
                    </a:xfrm>
                    <a:prstGeom prst="rect">
                      <a:avLst/>
                    </a:prstGeom>
                  </pic:spPr>
                </pic:pic>
              </a:graphicData>
            </a:graphic>
          </wp:inline>
        </w:drawing>
      </w:r>
    </w:p>
    <w:p w14:paraId="41E0A545">
      <w:pPr>
        <w:pStyle w:val="176"/>
        <w:rPr>
          <w:rFonts w:hint="eastAsia" w:ascii="Times New Roman" w:eastAsia="宋体"/>
        </w:rPr>
      </w:pPr>
      <w:r>
        <w:rPr>
          <w:rFonts w:hint="eastAsia" w:ascii="Times New Roman" w:eastAsia="宋体"/>
          <w:lang w:val="en-US" w:eastAsia="zh-CN"/>
        </w:rPr>
        <w:t>基于SiC器件的三电平</w:t>
      </w:r>
      <w:r>
        <w:rPr>
          <w:rFonts w:hint="eastAsia" w:ascii="Times New Roman" w:eastAsia="宋体"/>
        </w:rPr>
        <w:t>谐振DAB型DCDC</w:t>
      </w:r>
      <w:r>
        <w:rPr>
          <w:rFonts w:hint="eastAsia" w:ascii="Times New Roman" w:eastAsia="宋体"/>
          <w:lang w:eastAsia="zh-CN"/>
        </w:rPr>
        <w:t>（</w:t>
      </w:r>
      <w:r>
        <w:rPr>
          <w:rFonts w:hint="eastAsia" w:ascii="Times New Roman" w:eastAsia="宋体"/>
          <w:lang w:val="en-US" w:eastAsia="zh-CN"/>
        </w:rPr>
        <w:t>交流侧级联模块采用三电平结构</w:t>
      </w:r>
      <w:r>
        <w:rPr>
          <w:rFonts w:hint="eastAsia" w:ascii="Times New Roman" w:eastAsia="宋体"/>
          <w:lang w:eastAsia="zh-CN"/>
        </w:rPr>
        <w:t>）</w:t>
      </w:r>
    </w:p>
    <w:p w14:paraId="364020BC">
      <w:pPr>
        <w:pStyle w:val="176"/>
        <w:rPr>
          <w:rFonts w:hint="eastAsia"/>
        </w:rPr>
      </w:pPr>
    </w:p>
    <w:p w14:paraId="797DCAFD">
      <w:pPr>
        <w:pStyle w:val="91"/>
        <w:spacing w:before="120" w:after="120"/>
      </w:pPr>
      <w:r>
        <w:rPr>
          <w:rFonts w:hint="eastAsia"/>
        </w:rPr>
        <w:t>级联多电平型光伏并网用固态变压器拓扑结构示意图</w:t>
      </w:r>
    </w:p>
    <w:p w14:paraId="3A3BA076">
      <w:pPr>
        <w:pStyle w:val="176"/>
        <w:rPr>
          <w:rFonts w:ascii="Times New Roman" w:eastAsia="宋体"/>
        </w:rPr>
      </w:pPr>
    </w:p>
    <w:p w14:paraId="36A97879">
      <w:pPr>
        <w:pStyle w:val="176"/>
        <w:rPr>
          <w:rFonts w:ascii="Times New Roman" w:eastAsia="宋体"/>
        </w:rPr>
      </w:pPr>
    </w:p>
    <w:p w14:paraId="0386D6D9">
      <w:pPr>
        <w:pStyle w:val="176"/>
        <w:rPr>
          <w:rFonts w:ascii="Times New Roman" w:eastAsia="宋体"/>
        </w:rPr>
      </w:pPr>
    </w:p>
    <w:tbl>
      <w:tblPr>
        <w:tblStyle w:val="29"/>
        <w:tblW w:w="9482" w:type="dxa"/>
        <w:tblInd w:w="91" w:type="dxa"/>
        <w:tblLayout w:type="fixed"/>
        <w:tblCellMar>
          <w:top w:w="0" w:type="dxa"/>
          <w:left w:w="108" w:type="dxa"/>
          <w:bottom w:w="0" w:type="dxa"/>
          <w:right w:w="108" w:type="dxa"/>
        </w:tblCellMar>
      </w:tblPr>
      <w:tblGrid>
        <w:gridCol w:w="9482"/>
      </w:tblGrid>
      <w:tr w14:paraId="5A8D08CA">
        <w:tblPrEx>
          <w:tblCellMar>
            <w:top w:w="0" w:type="dxa"/>
            <w:left w:w="108" w:type="dxa"/>
            <w:bottom w:w="0" w:type="dxa"/>
            <w:right w:w="108" w:type="dxa"/>
          </w:tblCellMar>
        </w:tblPrEx>
        <w:trPr>
          <w:trHeight w:val="870" w:hRule="atLeast"/>
        </w:trPr>
        <w:tc>
          <w:tcPr>
            <w:tcW w:w="9482" w:type="dxa"/>
            <w:tcBorders>
              <w:top w:val="nil"/>
              <w:left w:val="nil"/>
              <w:bottom w:val="nil"/>
              <w:right w:val="nil"/>
              <w:tl2br w:val="nil"/>
              <w:tr2bl w:val="nil"/>
            </w:tcBorders>
            <w:vAlign w:val="center"/>
          </w:tcPr>
          <w:p w14:paraId="3CF3115C">
            <w:pPr>
              <w:pStyle w:val="176"/>
              <w:rPr>
                <w:szCs w:val="24"/>
              </w:rPr>
            </w:pPr>
          </w:p>
          <w:p w14:paraId="7E5F5D64">
            <w:pPr>
              <w:pStyle w:val="176"/>
              <w:rPr>
                <w:szCs w:val="24"/>
              </w:rPr>
            </w:pPr>
            <w:r>
              <w:rPr>
                <w:szCs w:val="24"/>
              </w:rPr>
              <w:object>
                <v:shape id="_x0000_i1029" o:spt="75" type="#_x0000_t75" style="height:591.95pt;width:462.45pt;" o:ole="t" filled="f" o:preferrelative="t" stroked="f" coordsize="21600,21600">
                  <v:path/>
                  <v:fill on="f" focussize="0,0"/>
                  <v:stroke on="f"/>
                  <v:imagedata r:id="rId36" o:title=""/>
                  <o:lock v:ext="edit" aspectratio="f"/>
                  <w10:wrap type="none"/>
                  <w10:anchorlock/>
                </v:shape>
                <o:OLEObject Type="Embed" ProgID="Visio.Drawing.15" ShapeID="_x0000_i1029" DrawAspect="Content" ObjectID="_1468075729" r:id="rId35">
                  <o:LockedField>false</o:LockedField>
                </o:OLEObject>
              </w:object>
            </w:r>
          </w:p>
          <w:p w14:paraId="13CEB034">
            <w:pPr>
              <w:pStyle w:val="176"/>
              <w:rPr>
                <w:szCs w:val="24"/>
              </w:rPr>
            </w:pPr>
          </w:p>
          <w:p w14:paraId="05F03EE9">
            <w:pPr>
              <w:pStyle w:val="176"/>
              <w:rPr>
                <w:szCs w:val="24"/>
              </w:rPr>
            </w:pPr>
            <w:r>
              <w:rPr>
                <w:rFonts w:hint="eastAsia"/>
                <w:szCs w:val="24"/>
              </w:rPr>
              <w:t>其中.DCDC可以采用移相DAB结构或谐振DAB结构，</w:t>
            </w:r>
          </w:p>
          <w:p w14:paraId="62BDE1BD">
            <w:pPr>
              <w:pStyle w:val="176"/>
              <w:rPr>
                <w:rFonts w:ascii="Times New Roman" w:eastAsia="宋体"/>
              </w:rPr>
            </w:pPr>
            <w:r>
              <w:rPr>
                <w:rFonts w:ascii="Times New Roman" w:eastAsia="宋体"/>
              </w:rPr>
              <w:object>
                <v:shape id="_x0000_i1030" o:spt="75" type="#_x0000_t75" style="height:123.15pt;width:275.45pt;" o:ole="t" filled="f" o:preferrelative="t" stroked="f" coordsize="21600,21600">
                  <v:path/>
                  <v:fill on="f" focussize="0,0"/>
                  <v:stroke on="f"/>
                  <v:imagedata r:id="rId29" cropleft="3638f" cropright="3743f" cropbottom="7135f" o:title=""/>
                  <o:lock v:ext="edit" aspectratio="f"/>
                  <w10:wrap type="none"/>
                  <w10:anchorlock/>
                </v:shape>
                <o:OLEObject Type="Embed" ProgID="Visio.Drawing.11" ShapeID="_x0000_i1030" DrawAspect="Content" ObjectID="_1468075730" r:id="rId37">
                  <o:LockedField>false</o:LockedField>
                </o:OLEObject>
              </w:object>
            </w:r>
          </w:p>
          <w:p w14:paraId="57D326D0">
            <w:pPr>
              <w:pStyle w:val="176"/>
              <w:rPr>
                <w:rFonts w:ascii="Times New Roman" w:eastAsia="宋体"/>
              </w:rPr>
            </w:pPr>
            <w:r>
              <w:rPr>
                <w:rFonts w:hint="eastAsia" w:ascii="Times New Roman" w:eastAsia="宋体"/>
                <w:lang w:val="en-US" w:eastAsia="zh-CN"/>
              </w:rPr>
              <w:t>基于IGBT器件的两电平</w:t>
            </w:r>
            <w:r>
              <w:rPr>
                <w:rFonts w:hint="eastAsia" w:ascii="Times New Roman" w:eastAsia="宋体"/>
              </w:rPr>
              <w:t>移相DAB型DCDC</w:t>
            </w:r>
          </w:p>
          <w:p w14:paraId="7A80BF35">
            <w:pPr>
              <w:pStyle w:val="176"/>
              <w:rPr>
                <w:rFonts w:ascii="Times New Roman" w:eastAsia="宋体"/>
              </w:rPr>
            </w:pPr>
            <w:r>
              <w:rPr>
                <w:rFonts w:ascii="Times New Roman" w:eastAsia="宋体"/>
              </w:rPr>
              <w:object>
                <v:shape id="_x0000_i1031" o:spt="75" type="#_x0000_t75" style="height:122.75pt;width:286.85pt;" o:ole="t" filled="f" o:preferrelative="t" stroked="f" coordsize="21600,21600">
                  <v:path/>
                  <v:fill on="f" focussize="0,0"/>
                  <v:stroke on="f" joinstyle="miter"/>
                  <v:imagedata r:id="rId31" cropleft="-311f" cropright="-106f" cropbottom="2113f" o:title=""/>
                  <o:lock v:ext="edit" aspectratio="f"/>
                  <w10:wrap type="none"/>
                  <w10:anchorlock/>
                </v:shape>
                <o:OLEObject Type="Embed" ProgID="Visio.Drawing.11" ShapeID="_x0000_i1031" DrawAspect="Content" ObjectID="_1468075731" r:id="rId38">
                  <o:LockedField>false</o:LockedField>
                </o:OLEObject>
              </w:object>
            </w:r>
          </w:p>
        </w:tc>
      </w:tr>
    </w:tbl>
    <w:p w14:paraId="2BB4D48E">
      <w:pPr>
        <w:pStyle w:val="176"/>
        <w:rPr>
          <w:rFonts w:hint="eastAsia" w:ascii="Times New Roman" w:eastAsia="宋体"/>
        </w:rPr>
      </w:pPr>
      <w:r>
        <w:rPr>
          <w:rFonts w:hint="eastAsia" w:ascii="Times New Roman" w:eastAsia="宋体"/>
          <w:lang w:val="en-US" w:eastAsia="zh-CN"/>
        </w:rPr>
        <w:t>基于IGBT器件的两电平</w:t>
      </w:r>
      <w:r>
        <w:rPr>
          <w:rFonts w:hint="eastAsia" w:ascii="Times New Roman" w:eastAsia="宋体"/>
        </w:rPr>
        <w:t>谐振DAB型DCDC</w:t>
      </w:r>
    </w:p>
    <w:p w14:paraId="19A48585">
      <w:pPr>
        <w:pStyle w:val="176"/>
        <w:rPr>
          <w:rFonts w:hint="eastAsia" w:ascii="Times New Roman" w:eastAsia="宋体"/>
        </w:rPr>
      </w:pPr>
      <w:r>
        <w:object>
          <v:shape id="_x0000_i1032" o:spt="75" type="#_x0000_t75" style="height:133.6pt;width:415.05pt;" o:ole="t" filled="f" o:preferrelative="t" stroked="f" coordsize="21600,21600">
            <v:path/>
            <v:fill on="f" focussize="0,0"/>
            <v:stroke on="f"/>
            <v:imagedata r:id="rId33" o:title=""/>
            <o:lock v:ext="edit" aspectratio="t"/>
            <w10:wrap type="none"/>
            <w10:anchorlock/>
          </v:shape>
          <o:OLEObject Type="Embed" ProgID="Visio.Drawing.11" ShapeID="_x0000_i1032" DrawAspect="Content" ObjectID="_1468075732" r:id="rId39">
            <o:LockedField>false</o:LockedField>
          </o:OLEObject>
        </w:object>
      </w:r>
    </w:p>
    <w:p w14:paraId="4EE7BF2C">
      <w:pPr>
        <w:pStyle w:val="176"/>
        <w:rPr>
          <w:rFonts w:hint="eastAsia" w:ascii="Times New Roman" w:eastAsia="宋体"/>
          <w:lang w:eastAsia="zh-CN"/>
        </w:rPr>
      </w:pPr>
      <w:r>
        <w:rPr>
          <w:rFonts w:hint="eastAsia" w:ascii="Times New Roman" w:eastAsia="宋体"/>
          <w:lang w:val="en-US" w:eastAsia="zh-CN"/>
        </w:rPr>
        <w:t>基于SiC器件的两电平</w:t>
      </w:r>
      <w:r>
        <w:rPr>
          <w:rFonts w:hint="eastAsia" w:ascii="Times New Roman" w:eastAsia="宋体"/>
        </w:rPr>
        <w:t>谐振DAB型DCDC</w:t>
      </w:r>
      <w:r>
        <w:rPr>
          <w:rFonts w:hint="eastAsia" w:ascii="Times New Roman" w:eastAsia="宋体"/>
          <w:lang w:eastAsia="zh-CN"/>
        </w:rPr>
        <w:t>（</w:t>
      </w:r>
      <w:r>
        <w:rPr>
          <w:rFonts w:hint="eastAsia" w:ascii="Times New Roman" w:eastAsia="宋体"/>
          <w:lang w:val="en-US" w:eastAsia="zh-CN"/>
        </w:rPr>
        <w:t>交流侧级联模块采用两电平结构</w:t>
      </w:r>
      <w:r>
        <w:rPr>
          <w:rFonts w:hint="eastAsia" w:ascii="Times New Roman" w:eastAsia="宋体"/>
          <w:lang w:eastAsia="zh-CN"/>
        </w:rPr>
        <w:t>）</w:t>
      </w:r>
    </w:p>
    <w:p w14:paraId="519DFAFE">
      <w:pPr>
        <w:pStyle w:val="176"/>
        <w:rPr>
          <w:rFonts w:hint="eastAsia" w:ascii="Times New Roman" w:eastAsia="宋体"/>
        </w:rPr>
      </w:pPr>
    </w:p>
    <w:p w14:paraId="675B64E0">
      <w:pPr>
        <w:pStyle w:val="176"/>
      </w:pPr>
      <w:r>
        <w:drawing>
          <wp:inline distT="0" distB="0" distL="0" distR="0">
            <wp:extent cx="5274310" cy="2378710"/>
            <wp:effectExtent l="0" t="0" r="2540" b="254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34"/>
                    <a:stretch>
                      <a:fillRect/>
                    </a:stretch>
                  </pic:blipFill>
                  <pic:spPr>
                    <a:xfrm>
                      <a:off x="0" y="0"/>
                      <a:ext cx="5274310" cy="2378934"/>
                    </a:xfrm>
                    <a:prstGeom prst="rect">
                      <a:avLst/>
                    </a:prstGeom>
                  </pic:spPr>
                </pic:pic>
              </a:graphicData>
            </a:graphic>
          </wp:inline>
        </w:drawing>
      </w:r>
    </w:p>
    <w:p w14:paraId="063D7A1C">
      <w:pPr>
        <w:pStyle w:val="176"/>
        <w:rPr>
          <w:rFonts w:hint="eastAsia" w:ascii="Times New Roman" w:eastAsia="宋体"/>
          <w:highlight w:val="yellow"/>
        </w:rPr>
      </w:pPr>
      <w:r>
        <w:rPr>
          <w:rFonts w:hint="eastAsia" w:ascii="Times New Roman" w:eastAsia="宋体"/>
          <w:lang w:val="en-US" w:eastAsia="zh-CN"/>
        </w:rPr>
        <w:t>基于SiC器件的三电平</w:t>
      </w:r>
      <w:r>
        <w:rPr>
          <w:rFonts w:hint="eastAsia" w:ascii="Times New Roman" w:eastAsia="宋体"/>
        </w:rPr>
        <w:t>谐振DAB型DCDC</w:t>
      </w:r>
      <w:r>
        <w:rPr>
          <w:rFonts w:hint="eastAsia" w:ascii="Times New Roman" w:eastAsia="宋体"/>
          <w:lang w:eastAsia="zh-CN"/>
        </w:rPr>
        <w:t>（</w:t>
      </w:r>
      <w:r>
        <w:rPr>
          <w:rFonts w:hint="eastAsia" w:ascii="Times New Roman" w:eastAsia="宋体"/>
          <w:lang w:val="en-US" w:eastAsia="zh-CN"/>
        </w:rPr>
        <w:t>交流侧级联模块采用三电平结构</w:t>
      </w:r>
      <w:r>
        <w:rPr>
          <w:rFonts w:hint="eastAsia" w:ascii="Times New Roman" w:eastAsia="宋体"/>
          <w:lang w:eastAsia="zh-CN"/>
        </w:rPr>
        <w:t>）</w:t>
      </w:r>
    </w:p>
    <w:p w14:paraId="198F38C2">
      <w:pPr>
        <w:pStyle w:val="176"/>
        <w:rPr>
          <w:rFonts w:hint="eastAsia" w:ascii="Times New Roman" w:eastAsia="宋体"/>
          <w:highlight w:val="yellow"/>
        </w:rPr>
      </w:pPr>
    </w:p>
    <w:p w14:paraId="3B852B9B">
      <w:pPr>
        <w:pStyle w:val="176"/>
        <w:rPr>
          <w:rFonts w:ascii="Times New Roman" w:eastAsia="宋体"/>
        </w:rPr>
      </w:pPr>
    </w:p>
    <w:p w14:paraId="18D08F42">
      <w:pPr>
        <w:pStyle w:val="91"/>
        <w:spacing w:before="120" w:after="120"/>
        <w:rPr>
          <w:rFonts w:hint="eastAsia" w:hAnsi="Times New Roman" w:cs="Times New Roman"/>
        </w:rPr>
      </w:pPr>
      <w:r>
        <w:rPr>
          <w:rFonts w:hint="eastAsia" w:hAnsi="Times New Roman" w:cs="Times New Roman"/>
        </w:rPr>
        <w:t>模块化多电平MMC型光伏并网用固态变压器拓扑结构示意图</w:t>
      </w:r>
    </w:p>
    <w:p w14:paraId="0A9392C3"/>
    <w:p w14:paraId="3EE01CD5"/>
    <w:p w14:paraId="2F68D685"/>
    <w:p w14:paraId="5B8B28FD"/>
    <w:p w14:paraId="6F79BE2B"/>
    <w:p w14:paraId="1540F75C"/>
    <w:p w14:paraId="22FBB79A"/>
    <w:p w14:paraId="698DCBD7"/>
    <w:p w14:paraId="538804F1"/>
    <w:p w14:paraId="62646C07"/>
    <w:p w14:paraId="6D749A67"/>
    <w:p w14:paraId="4F527533"/>
    <w:p w14:paraId="4B95E169"/>
    <w:p w14:paraId="38B78802"/>
    <w:p w14:paraId="3FB4CA2F"/>
    <w:p w14:paraId="51F14F29"/>
    <w:p w14:paraId="4943AFBE"/>
    <w:p w14:paraId="4CAA8D1E"/>
    <w:p w14:paraId="7ED82C8A"/>
    <w:p w14:paraId="0308AB3C"/>
    <w:p w14:paraId="183041DA"/>
    <w:p w14:paraId="4D0E1388"/>
    <w:p w14:paraId="42C35A5F"/>
    <w:p w14:paraId="7873760F"/>
    <w:p w14:paraId="0A3A12FC"/>
    <w:p w14:paraId="407C3452"/>
    <w:p w14:paraId="57E23C00"/>
    <w:p w14:paraId="508EF081"/>
    <w:p w14:paraId="4454438A"/>
    <w:p w14:paraId="3240BEAA"/>
    <w:p w14:paraId="1E5CF7EB"/>
    <w:tbl>
      <w:tblPr>
        <w:tblStyle w:val="29"/>
        <w:tblW w:w="9824" w:type="dxa"/>
        <w:tblInd w:w="91" w:type="dxa"/>
        <w:tblLayout w:type="fixed"/>
        <w:tblCellMar>
          <w:top w:w="0" w:type="dxa"/>
          <w:left w:w="108" w:type="dxa"/>
          <w:bottom w:w="0" w:type="dxa"/>
          <w:right w:w="108" w:type="dxa"/>
        </w:tblCellMar>
      </w:tblPr>
      <w:tblGrid>
        <w:gridCol w:w="1409"/>
        <w:gridCol w:w="13"/>
        <w:gridCol w:w="3196"/>
        <w:gridCol w:w="4864"/>
        <w:gridCol w:w="265"/>
        <w:gridCol w:w="77"/>
      </w:tblGrid>
      <w:tr w14:paraId="4F208110">
        <w:tblPrEx>
          <w:tblCellMar>
            <w:top w:w="0" w:type="dxa"/>
            <w:left w:w="108" w:type="dxa"/>
            <w:bottom w:w="0" w:type="dxa"/>
            <w:right w:w="108" w:type="dxa"/>
          </w:tblCellMar>
        </w:tblPrEx>
        <w:trPr>
          <w:gridAfter w:val="2"/>
          <w:wAfter w:w="342" w:type="dxa"/>
          <w:trHeight w:val="360" w:hRule="atLeast"/>
        </w:trPr>
        <w:tc>
          <w:tcPr>
            <w:tcW w:w="9482" w:type="dxa"/>
            <w:gridSpan w:val="4"/>
            <w:tcBorders>
              <w:top w:val="nil"/>
              <w:left w:val="nil"/>
              <w:bottom w:val="nil"/>
              <w:right w:val="nil"/>
              <w:tl2br w:val="nil"/>
              <w:tr2bl w:val="nil"/>
            </w:tcBorders>
            <w:vAlign w:val="center"/>
          </w:tcPr>
          <w:p w14:paraId="5A71F74A">
            <w:pPr>
              <w:pStyle w:val="84"/>
              <w:spacing w:before="60" w:after="120"/>
            </w:pPr>
            <w:bookmarkStart w:id="214" w:name="_Toc30477"/>
            <w:bookmarkEnd w:id="214"/>
          </w:p>
          <w:p w14:paraId="6128C869">
            <w:pPr>
              <w:pStyle w:val="176"/>
            </w:pPr>
            <w:r>
              <w:rPr>
                <w:rFonts w:hint="eastAsia"/>
              </w:rPr>
              <w:t>(资料性附录)</w:t>
            </w:r>
          </w:p>
          <w:p w14:paraId="749D3C55">
            <w:pPr>
              <w:pStyle w:val="176"/>
              <w:rPr>
                <w:rFonts w:hAnsi="宋体" w:cs="黑体"/>
                <w:b/>
                <w:color w:val="000000"/>
                <w:sz w:val="26"/>
                <w:szCs w:val="26"/>
                <w:lang w:bidi="ar"/>
              </w:rPr>
            </w:pPr>
            <w:r>
              <w:rPr>
                <w:rFonts w:hint="eastAsia"/>
              </w:rPr>
              <w:t>设备标识符号</w:t>
            </w:r>
          </w:p>
        </w:tc>
      </w:tr>
      <w:tr w14:paraId="6451CB50">
        <w:tblPrEx>
          <w:tblCellMar>
            <w:top w:w="0" w:type="dxa"/>
            <w:left w:w="108" w:type="dxa"/>
            <w:bottom w:w="0" w:type="dxa"/>
            <w:right w:w="108" w:type="dxa"/>
          </w:tblCellMar>
        </w:tblPrEx>
        <w:trPr>
          <w:gridAfter w:val="1"/>
          <w:wAfter w:w="77" w:type="dxa"/>
          <w:trHeight w:val="390" w:hRule="atLeast"/>
        </w:trPr>
        <w:tc>
          <w:tcPr>
            <w:tcW w:w="4618" w:type="dxa"/>
            <w:gridSpan w:val="3"/>
            <w:tcBorders>
              <w:top w:val="nil"/>
              <w:left w:val="nil"/>
              <w:bottom w:val="nil"/>
              <w:right w:val="nil"/>
            </w:tcBorders>
            <w:vAlign w:val="center"/>
          </w:tcPr>
          <w:p w14:paraId="2D042A24">
            <w:pPr>
              <w:pStyle w:val="64"/>
            </w:pPr>
            <w:r>
              <w:t>固态变压器的标识符号见表A.1。</w:t>
            </w:r>
          </w:p>
        </w:tc>
        <w:tc>
          <w:tcPr>
            <w:tcW w:w="5129" w:type="dxa"/>
            <w:gridSpan w:val="2"/>
            <w:tcBorders>
              <w:top w:val="nil"/>
              <w:left w:val="nil"/>
              <w:bottom w:val="nil"/>
              <w:right w:val="nil"/>
            </w:tcBorders>
            <w:noWrap/>
            <w:vAlign w:val="bottom"/>
          </w:tcPr>
          <w:p w14:paraId="13D16D10">
            <w:pPr>
              <w:pStyle w:val="64"/>
            </w:pPr>
          </w:p>
        </w:tc>
      </w:tr>
      <w:tr w14:paraId="41AE5275">
        <w:tblPrEx>
          <w:tblCellMar>
            <w:top w:w="0" w:type="dxa"/>
            <w:left w:w="108" w:type="dxa"/>
            <w:bottom w:w="0" w:type="dxa"/>
            <w:right w:w="108" w:type="dxa"/>
          </w:tblCellMar>
        </w:tblPrEx>
        <w:trPr>
          <w:gridAfter w:val="1"/>
          <w:wAfter w:w="77" w:type="dxa"/>
          <w:trHeight w:val="360" w:hRule="atLeast"/>
        </w:trPr>
        <w:tc>
          <w:tcPr>
            <w:tcW w:w="9747" w:type="dxa"/>
            <w:gridSpan w:val="5"/>
            <w:tcBorders>
              <w:top w:val="nil"/>
              <w:left w:val="nil"/>
              <w:bottom w:val="nil"/>
              <w:right w:val="nil"/>
            </w:tcBorders>
            <w:noWrap/>
            <w:vAlign w:val="center"/>
          </w:tcPr>
          <w:p w14:paraId="30F1A75C">
            <w:pPr>
              <w:pStyle w:val="85"/>
              <w:numPr>
                <w:ilvl w:val="1"/>
                <w:numId w:val="0"/>
              </w:numPr>
              <w:spacing w:before="120" w:after="120"/>
              <w:ind w:left="0" w:leftChars="0" w:firstLine="420" w:firstLineChars="0"/>
            </w:pPr>
            <w:r>
              <w:rPr>
                <w:rFonts w:hint="eastAsia" w:ascii="黑体" w:hAnsi="Times New Roman" w:eastAsia="黑体" w:cs="Times New Roman"/>
                <w:kern w:val="21"/>
                <w:sz w:val="21"/>
                <w:lang w:val="en-US" w:eastAsia="zh-CN" w:bidi="ar-SA"/>
              </w:rPr>
              <w:t>表</w:t>
            </w:r>
            <w:r>
              <w:rPr>
                <w:rFonts w:hint="eastAsia" w:cs="Times New Roman"/>
                <w:kern w:val="21"/>
                <w:sz w:val="21"/>
                <w:lang w:val="en-US" w:eastAsia="zh-CN" w:bidi="ar-SA"/>
              </w:rPr>
              <w:t>B</w:t>
            </w:r>
            <w:r>
              <w:rPr>
                <w:rFonts w:hint="eastAsia" w:ascii="黑体" w:hAnsi="Times New Roman" w:eastAsia="黑体" w:cs="Times New Roman"/>
                <w:kern w:val="21"/>
                <w:sz w:val="21"/>
                <w:lang w:val="en-US" w:eastAsia="zh-CN" w:bidi="ar-SA"/>
              </w:rPr>
              <w:t>.1</w:t>
            </w:r>
            <w:r>
              <w:rPr>
                <w:rFonts w:hint="eastAsia"/>
              </w:rPr>
              <w:t>设备标识符号</w:t>
            </w:r>
          </w:p>
        </w:tc>
      </w:tr>
      <w:tr w14:paraId="0C761125">
        <w:tblPrEx>
          <w:tblCellMar>
            <w:top w:w="0" w:type="dxa"/>
            <w:left w:w="108" w:type="dxa"/>
            <w:bottom w:w="0" w:type="dxa"/>
            <w:right w:w="108" w:type="dxa"/>
          </w:tblCellMar>
        </w:tblPrEx>
        <w:trPr>
          <w:gridAfter w:val="1"/>
          <w:wAfter w:w="77" w:type="dxa"/>
          <w:trHeight w:val="455"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08BEC12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编号</w:t>
            </w:r>
          </w:p>
        </w:tc>
        <w:tc>
          <w:tcPr>
            <w:tcW w:w="3196" w:type="dxa"/>
            <w:tcBorders>
              <w:top w:val="single" w:color="000000" w:sz="4" w:space="0"/>
              <w:left w:val="single" w:color="000000" w:sz="4" w:space="0"/>
              <w:bottom w:val="single" w:color="000000" w:sz="4" w:space="0"/>
              <w:right w:val="single" w:color="000000" w:sz="4" w:space="0"/>
            </w:tcBorders>
            <w:vAlign w:val="center"/>
          </w:tcPr>
          <w:p w14:paraId="1825A8A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符号</w:t>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6F48250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描述</w:t>
            </w:r>
          </w:p>
        </w:tc>
      </w:tr>
      <w:tr w14:paraId="430108C3">
        <w:tblPrEx>
          <w:tblCellMar>
            <w:top w:w="0" w:type="dxa"/>
            <w:left w:w="108" w:type="dxa"/>
            <w:bottom w:w="0" w:type="dxa"/>
            <w:right w:w="108" w:type="dxa"/>
          </w:tblCellMar>
        </w:tblPrEx>
        <w:trPr>
          <w:gridAfter w:val="1"/>
          <w:wAfter w:w="77" w:type="dxa"/>
          <w:trHeight w:val="66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68AF0F4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 </w:t>
            </w:r>
          </w:p>
        </w:tc>
        <w:tc>
          <w:tcPr>
            <w:tcW w:w="3196" w:type="dxa"/>
            <w:tcBorders>
              <w:top w:val="single" w:color="000000" w:sz="4" w:space="0"/>
              <w:left w:val="single" w:color="000000" w:sz="4" w:space="0"/>
              <w:bottom w:val="single" w:color="000000" w:sz="4" w:space="0"/>
              <w:right w:val="single" w:color="000000" w:sz="4" w:space="0"/>
            </w:tcBorders>
          </w:tcPr>
          <w:p w14:paraId="30065E3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8720" behindDoc="0" locked="0" layoutInCell="1" allowOverlap="1">
                  <wp:simplePos x="0" y="0"/>
                  <wp:positionH relativeFrom="column">
                    <wp:posOffset>838835</wp:posOffset>
                  </wp:positionH>
                  <wp:positionV relativeFrom="paragraph">
                    <wp:posOffset>107950</wp:posOffset>
                  </wp:positionV>
                  <wp:extent cx="609600" cy="203200"/>
                  <wp:effectExtent l="0" t="0" r="0" b="6350"/>
                  <wp:wrapNone/>
                  <wp:docPr id="25" name="image5"/>
                  <wp:cNvGraphicFramePr/>
                  <a:graphic xmlns:a="http://schemas.openxmlformats.org/drawingml/2006/main">
                    <a:graphicData uri="http://schemas.openxmlformats.org/drawingml/2006/picture">
                      <pic:pic xmlns:pic="http://schemas.openxmlformats.org/drawingml/2006/picture">
                        <pic:nvPicPr>
                          <pic:cNvPr id="25" name="image5"/>
                          <pic:cNvPicPr/>
                        </pic:nvPicPr>
                        <pic:blipFill>
                          <a:blip r:embed="rId40"/>
                          <a:stretch>
                            <a:fillRect/>
                          </a:stretch>
                        </pic:blipFill>
                        <pic:spPr>
                          <a:xfrm>
                            <a:off x="0" y="0"/>
                            <a:ext cx="609600" cy="2032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2D6E941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直流</w:t>
            </w:r>
          </w:p>
        </w:tc>
      </w:tr>
      <w:tr w14:paraId="38127C4F">
        <w:tblPrEx>
          <w:tblCellMar>
            <w:top w:w="0" w:type="dxa"/>
            <w:left w:w="108" w:type="dxa"/>
            <w:bottom w:w="0" w:type="dxa"/>
            <w:right w:w="108" w:type="dxa"/>
          </w:tblCellMar>
        </w:tblPrEx>
        <w:trPr>
          <w:gridAfter w:val="1"/>
          <w:wAfter w:w="77" w:type="dxa"/>
          <w:trHeight w:val="69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23EDB72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 </w:t>
            </w:r>
          </w:p>
        </w:tc>
        <w:tc>
          <w:tcPr>
            <w:tcW w:w="3196" w:type="dxa"/>
            <w:tcBorders>
              <w:top w:val="single" w:color="000000" w:sz="4" w:space="0"/>
              <w:left w:val="single" w:color="000000" w:sz="4" w:space="0"/>
              <w:bottom w:val="single" w:color="000000" w:sz="4" w:space="0"/>
              <w:right w:val="single" w:color="000000" w:sz="4" w:space="0"/>
            </w:tcBorders>
          </w:tcPr>
          <w:p w14:paraId="6CE4AE9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7696" behindDoc="0" locked="0" layoutInCell="1" allowOverlap="1">
                  <wp:simplePos x="0" y="0"/>
                  <wp:positionH relativeFrom="column">
                    <wp:posOffset>886460</wp:posOffset>
                  </wp:positionH>
                  <wp:positionV relativeFrom="paragraph">
                    <wp:posOffset>114935</wp:posOffset>
                  </wp:positionV>
                  <wp:extent cx="514350" cy="209550"/>
                  <wp:effectExtent l="0" t="0" r="0" b="0"/>
                  <wp:wrapNone/>
                  <wp:docPr id="24" name="image12"/>
                  <wp:cNvGraphicFramePr/>
                  <a:graphic xmlns:a="http://schemas.openxmlformats.org/drawingml/2006/main">
                    <a:graphicData uri="http://schemas.openxmlformats.org/drawingml/2006/picture">
                      <pic:pic xmlns:pic="http://schemas.openxmlformats.org/drawingml/2006/picture">
                        <pic:nvPicPr>
                          <pic:cNvPr id="24" name="image12"/>
                          <pic:cNvPicPr/>
                        </pic:nvPicPr>
                        <pic:blipFill>
                          <a:blip r:embed="rId41"/>
                          <a:stretch>
                            <a:fillRect/>
                          </a:stretch>
                        </pic:blipFill>
                        <pic:spPr>
                          <a:xfrm>
                            <a:off x="0" y="0"/>
                            <a:ext cx="514350" cy="20955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7987CF7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交流</w:t>
            </w:r>
          </w:p>
        </w:tc>
      </w:tr>
      <w:tr w14:paraId="43169C14">
        <w:tblPrEx>
          <w:tblCellMar>
            <w:top w:w="0" w:type="dxa"/>
            <w:left w:w="108" w:type="dxa"/>
            <w:bottom w:w="0" w:type="dxa"/>
            <w:right w:w="108" w:type="dxa"/>
          </w:tblCellMar>
        </w:tblPrEx>
        <w:trPr>
          <w:gridAfter w:val="1"/>
          <w:wAfter w:w="77" w:type="dxa"/>
          <w:trHeight w:val="65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3656373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3 </w:t>
            </w:r>
          </w:p>
        </w:tc>
        <w:tc>
          <w:tcPr>
            <w:tcW w:w="3196" w:type="dxa"/>
            <w:tcBorders>
              <w:top w:val="single" w:color="000000" w:sz="4" w:space="0"/>
              <w:left w:val="single" w:color="000000" w:sz="4" w:space="0"/>
              <w:bottom w:val="single" w:color="000000" w:sz="4" w:space="0"/>
              <w:right w:val="single" w:color="000000" w:sz="4" w:space="0"/>
            </w:tcBorders>
          </w:tcPr>
          <w:p w14:paraId="4624240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9744" behindDoc="0" locked="0" layoutInCell="1" allowOverlap="1">
                  <wp:simplePos x="0" y="0"/>
                  <wp:positionH relativeFrom="column">
                    <wp:posOffset>898525</wp:posOffset>
                  </wp:positionH>
                  <wp:positionV relativeFrom="paragraph">
                    <wp:posOffset>89535</wp:posOffset>
                  </wp:positionV>
                  <wp:extent cx="488950" cy="234950"/>
                  <wp:effectExtent l="0" t="0" r="6350" b="12700"/>
                  <wp:wrapNone/>
                  <wp:docPr id="26" name="image7"/>
                  <wp:cNvGraphicFramePr/>
                  <a:graphic xmlns:a="http://schemas.openxmlformats.org/drawingml/2006/main">
                    <a:graphicData uri="http://schemas.openxmlformats.org/drawingml/2006/picture">
                      <pic:pic xmlns:pic="http://schemas.openxmlformats.org/drawingml/2006/picture">
                        <pic:nvPicPr>
                          <pic:cNvPr id="26" name="image7"/>
                          <pic:cNvPicPr/>
                        </pic:nvPicPr>
                        <pic:blipFill>
                          <a:blip r:embed="rId42"/>
                          <a:stretch>
                            <a:fillRect/>
                          </a:stretch>
                        </pic:blipFill>
                        <pic:spPr>
                          <a:xfrm>
                            <a:off x="0" y="0"/>
                            <a:ext cx="488950" cy="23495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496FC1F6">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交直流</w:t>
            </w:r>
          </w:p>
        </w:tc>
      </w:tr>
      <w:tr w14:paraId="4252651F">
        <w:tblPrEx>
          <w:tblCellMar>
            <w:top w:w="0" w:type="dxa"/>
            <w:left w:w="108" w:type="dxa"/>
            <w:bottom w:w="0" w:type="dxa"/>
            <w:right w:w="108" w:type="dxa"/>
          </w:tblCellMar>
        </w:tblPrEx>
        <w:trPr>
          <w:gridAfter w:val="1"/>
          <w:wAfter w:w="77" w:type="dxa"/>
          <w:trHeight w:val="66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276D0F6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 </w:t>
            </w:r>
          </w:p>
        </w:tc>
        <w:tc>
          <w:tcPr>
            <w:tcW w:w="3196" w:type="dxa"/>
            <w:tcBorders>
              <w:top w:val="single" w:color="000000" w:sz="4" w:space="0"/>
              <w:left w:val="single" w:color="000000" w:sz="4" w:space="0"/>
              <w:bottom w:val="single" w:color="000000" w:sz="4" w:space="0"/>
              <w:right w:val="single" w:color="000000" w:sz="4" w:space="0"/>
            </w:tcBorders>
          </w:tcPr>
          <w:p w14:paraId="068826D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4624" behindDoc="0" locked="0" layoutInCell="1" allowOverlap="1">
                  <wp:simplePos x="0" y="0"/>
                  <wp:positionH relativeFrom="column">
                    <wp:posOffset>892175</wp:posOffset>
                  </wp:positionH>
                  <wp:positionV relativeFrom="paragraph">
                    <wp:posOffset>102235</wp:posOffset>
                  </wp:positionV>
                  <wp:extent cx="501650" cy="215900"/>
                  <wp:effectExtent l="0" t="0" r="12700" b="12700"/>
                  <wp:wrapNone/>
                  <wp:docPr id="21" name="image11"/>
                  <wp:cNvGraphicFramePr/>
                  <a:graphic xmlns:a="http://schemas.openxmlformats.org/drawingml/2006/main">
                    <a:graphicData uri="http://schemas.openxmlformats.org/drawingml/2006/picture">
                      <pic:pic xmlns:pic="http://schemas.openxmlformats.org/drawingml/2006/picture">
                        <pic:nvPicPr>
                          <pic:cNvPr id="21" name="image11"/>
                          <pic:cNvPicPr/>
                        </pic:nvPicPr>
                        <pic:blipFill>
                          <a:blip r:embed="rId43"/>
                          <a:stretch>
                            <a:fillRect/>
                          </a:stretch>
                        </pic:blipFill>
                        <pic:spPr>
                          <a:xfrm>
                            <a:off x="0" y="0"/>
                            <a:ext cx="501650" cy="2159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1395699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三相交流</w:t>
            </w:r>
          </w:p>
        </w:tc>
      </w:tr>
      <w:tr w14:paraId="233F6EBC">
        <w:tblPrEx>
          <w:tblCellMar>
            <w:top w:w="0" w:type="dxa"/>
            <w:left w:w="108" w:type="dxa"/>
            <w:bottom w:w="0" w:type="dxa"/>
            <w:right w:w="108" w:type="dxa"/>
          </w:tblCellMar>
        </w:tblPrEx>
        <w:trPr>
          <w:gridAfter w:val="1"/>
          <w:wAfter w:w="77" w:type="dxa"/>
          <w:trHeight w:val="66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59F25A3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5 </w:t>
            </w:r>
          </w:p>
        </w:tc>
        <w:tc>
          <w:tcPr>
            <w:tcW w:w="3196" w:type="dxa"/>
            <w:tcBorders>
              <w:top w:val="single" w:color="000000" w:sz="4" w:space="0"/>
              <w:left w:val="single" w:color="000000" w:sz="4" w:space="0"/>
              <w:bottom w:val="single" w:color="000000" w:sz="4" w:space="0"/>
              <w:right w:val="single" w:color="000000" w:sz="4" w:space="0"/>
            </w:tcBorders>
          </w:tcPr>
          <w:p w14:paraId="6CA22DA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5648" behindDoc="0" locked="0" layoutInCell="1" allowOverlap="1">
                  <wp:simplePos x="0" y="0"/>
                  <wp:positionH relativeFrom="column">
                    <wp:posOffset>889635</wp:posOffset>
                  </wp:positionH>
                  <wp:positionV relativeFrom="paragraph">
                    <wp:posOffset>95885</wp:posOffset>
                  </wp:positionV>
                  <wp:extent cx="508000" cy="228600"/>
                  <wp:effectExtent l="0" t="0" r="6350" b="0"/>
                  <wp:wrapNone/>
                  <wp:docPr id="22" name="image6"/>
                  <wp:cNvGraphicFramePr/>
                  <a:graphic xmlns:a="http://schemas.openxmlformats.org/drawingml/2006/main">
                    <a:graphicData uri="http://schemas.openxmlformats.org/drawingml/2006/picture">
                      <pic:pic xmlns:pic="http://schemas.openxmlformats.org/drawingml/2006/picture">
                        <pic:nvPicPr>
                          <pic:cNvPr id="22" name="image6"/>
                          <pic:cNvPicPr/>
                        </pic:nvPicPr>
                        <pic:blipFill>
                          <a:blip r:embed="rId44"/>
                          <a:stretch>
                            <a:fillRect/>
                          </a:stretch>
                        </pic:blipFill>
                        <pic:spPr>
                          <a:xfrm>
                            <a:off x="0" y="0"/>
                            <a:ext cx="508000" cy="2286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6053550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三相交流带中线</w:t>
            </w:r>
          </w:p>
        </w:tc>
      </w:tr>
      <w:tr w14:paraId="38670CE6">
        <w:tblPrEx>
          <w:tblCellMar>
            <w:top w:w="0" w:type="dxa"/>
            <w:left w:w="108" w:type="dxa"/>
            <w:bottom w:w="0" w:type="dxa"/>
            <w:right w:w="108" w:type="dxa"/>
          </w:tblCellMar>
        </w:tblPrEx>
        <w:trPr>
          <w:gridAfter w:val="1"/>
          <w:wAfter w:w="77" w:type="dxa"/>
          <w:trHeight w:val="72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6A61AE7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6 </w:t>
            </w:r>
          </w:p>
        </w:tc>
        <w:tc>
          <w:tcPr>
            <w:tcW w:w="3196" w:type="dxa"/>
            <w:tcBorders>
              <w:top w:val="single" w:color="000000" w:sz="4" w:space="0"/>
              <w:left w:val="single" w:color="000000" w:sz="4" w:space="0"/>
              <w:bottom w:val="single" w:color="000000" w:sz="4" w:space="0"/>
              <w:right w:val="single" w:color="000000" w:sz="4" w:space="0"/>
            </w:tcBorders>
          </w:tcPr>
          <w:p w14:paraId="7B25593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3600" behindDoc="0" locked="0" layoutInCell="1" allowOverlap="1">
                  <wp:simplePos x="0" y="0"/>
                  <wp:positionH relativeFrom="column">
                    <wp:posOffset>1043940</wp:posOffset>
                  </wp:positionH>
                  <wp:positionV relativeFrom="paragraph">
                    <wp:posOffset>89535</wp:posOffset>
                  </wp:positionV>
                  <wp:extent cx="197485" cy="279400"/>
                  <wp:effectExtent l="0" t="0" r="12065" b="6350"/>
                  <wp:wrapNone/>
                  <wp:docPr id="20" name="image17"/>
                  <wp:cNvGraphicFramePr/>
                  <a:graphic xmlns:a="http://schemas.openxmlformats.org/drawingml/2006/main">
                    <a:graphicData uri="http://schemas.openxmlformats.org/drawingml/2006/picture">
                      <pic:pic xmlns:pic="http://schemas.openxmlformats.org/drawingml/2006/picture">
                        <pic:nvPicPr>
                          <pic:cNvPr id="20" name="image17"/>
                          <pic:cNvPicPr/>
                        </pic:nvPicPr>
                        <pic:blipFill>
                          <a:blip r:embed="rId45"/>
                          <a:stretch>
                            <a:fillRect/>
                          </a:stretch>
                        </pic:blipFill>
                        <pic:spPr>
                          <a:xfrm>
                            <a:off x="0" y="0"/>
                            <a:ext cx="197485" cy="2794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5094485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接地</w:t>
            </w:r>
          </w:p>
        </w:tc>
      </w:tr>
      <w:tr w14:paraId="3D5CF59A">
        <w:tblPrEx>
          <w:tblCellMar>
            <w:top w:w="0" w:type="dxa"/>
            <w:left w:w="108" w:type="dxa"/>
            <w:bottom w:w="0" w:type="dxa"/>
            <w:right w:w="108" w:type="dxa"/>
          </w:tblCellMar>
        </w:tblPrEx>
        <w:trPr>
          <w:gridAfter w:val="1"/>
          <w:wAfter w:w="77" w:type="dxa"/>
          <w:trHeight w:val="71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554D1A2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7 </w:t>
            </w:r>
          </w:p>
        </w:tc>
        <w:tc>
          <w:tcPr>
            <w:tcW w:w="3196" w:type="dxa"/>
            <w:tcBorders>
              <w:top w:val="single" w:color="000000" w:sz="4" w:space="0"/>
              <w:left w:val="single" w:color="000000" w:sz="4" w:space="0"/>
              <w:bottom w:val="single" w:color="000000" w:sz="4" w:space="0"/>
              <w:right w:val="single" w:color="000000" w:sz="4" w:space="0"/>
            </w:tcBorders>
          </w:tcPr>
          <w:p w14:paraId="3073136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6672" behindDoc="0" locked="0" layoutInCell="1" allowOverlap="1">
                  <wp:simplePos x="0" y="0"/>
                  <wp:positionH relativeFrom="column">
                    <wp:posOffset>990600</wp:posOffset>
                  </wp:positionH>
                  <wp:positionV relativeFrom="paragraph">
                    <wp:posOffset>73025</wp:posOffset>
                  </wp:positionV>
                  <wp:extent cx="304800" cy="304800"/>
                  <wp:effectExtent l="0" t="0" r="0" b="0"/>
                  <wp:wrapNone/>
                  <wp:docPr id="23" name="image15"/>
                  <wp:cNvGraphicFramePr/>
                  <a:graphic xmlns:a="http://schemas.openxmlformats.org/drawingml/2006/main">
                    <a:graphicData uri="http://schemas.openxmlformats.org/drawingml/2006/picture">
                      <pic:pic xmlns:pic="http://schemas.openxmlformats.org/drawingml/2006/picture">
                        <pic:nvPicPr>
                          <pic:cNvPr id="23" name="image15"/>
                          <pic:cNvPicPr/>
                        </pic:nvPicPr>
                        <pic:blipFill>
                          <a:blip r:embed="rId46"/>
                          <a:stretch>
                            <a:fillRect/>
                          </a:stretch>
                        </pic:blipFill>
                        <pic:spPr>
                          <a:xfrm>
                            <a:off x="0" y="0"/>
                            <a:ext cx="304800" cy="3048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6E91C8F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保护接地</w:t>
            </w:r>
          </w:p>
        </w:tc>
      </w:tr>
      <w:tr w14:paraId="3C80618A">
        <w:tblPrEx>
          <w:tblCellMar>
            <w:top w:w="0" w:type="dxa"/>
            <w:left w:w="108" w:type="dxa"/>
            <w:bottom w:w="0" w:type="dxa"/>
            <w:right w:w="108" w:type="dxa"/>
          </w:tblCellMar>
        </w:tblPrEx>
        <w:trPr>
          <w:gridAfter w:val="1"/>
          <w:wAfter w:w="77" w:type="dxa"/>
          <w:trHeight w:val="75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1238824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8 </w:t>
            </w:r>
          </w:p>
        </w:tc>
        <w:tc>
          <w:tcPr>
            <w:tcW w:w="3196" w:type="dxa"/>
            <w:tcBorders>
              <w:top w:val="single" w:color="000000" w:sz="4" w:space="0"/>
              <w:left w:val="single" w:color="000000" w:sz="4" w:space="0"/>
              <w:bottom w:val="single" w:color="000000" w:sz="4" w:space="0"/>
              <w:right w:val="single" w:color="000000" w:sz="4" w:space="0"/>
            </w:tcBorders>
          </w:tcPr>
          <w:p w14:paraId="320F99D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67456" behindDoc="0" locked="0" layoutInCell="1" allowOverlap="1">
                  <wp:simplePos x="0" y="0"/>
                  <wp:positionH relativeFrom="column">
                    <wp:posOffset>1010285</wp:posOffset>
                  </wp:positionH>
                  <wp:positionV relativeFrom="paragraph">
                    <wp:posOffset>80010</wp:posOffset>
                  </wp:positionV>
                  <wp:extent cx="266700" cy="317500"/>
                  <wp:effectExtent l="0" t="0" r="0" b="6350"/>
                  <wp:wrapNone/>
                  <wp:docPr id="559526761" name="image16"/>
                  <wp:cNvGraphicFramePr/>
                  <a:graphic xmlns:a="http://schemas.openxmlformats.org/drawingml/2006/main">
                    <a:graphicData uri="http://schemas.openxmlformats.org/drawingml/2006/picture">
                      <pic:pic xmlns:pic="http://schemas.openxmlformats.org/drawingml/2006/picture">
                        <pic:nvPicPr>
                          <pic:cNvPr id="559526761" name="image16"/>
                          <pic:cNvPicPr/>
                        </pic:nvPicPr>
                        <pic:blipFill>
                          <a:blip r:embed="rId47"/>
                          <a:stretch>
                            <a:fillRect/>
                          </a:stretch>
                        </pic:blipFill>
                        <pic:spPr>
                          <a:xfrm>
                            <a:off x="0" y="0"/>
                            <a:ext cx="266700" cy="3175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7A07D2D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框架或底座端子</w:t>
            </w:r>
          </w:p>
        </w:tc>
      </w:tr>
      <w:tr w14:paraId="68E646C9">
        <w:tblPrEx>
          <w:tblCellMar>
            <w:top w:w="0" w:type="dxa"/>
            <w:left w:w="108" w:type="dxa"/>
            <w:bottom w:w="0" w:type="dxa"/>
            <w:right w:w="108" w:type="dxa"/>
          </w:tblCellMar>
        </w:tblPrEx>
        <w:trPr>
          <w:gridAfter w:val="1"/>
          <w:wAfter w:w="77" w:type="dxa"/>
          <w:trHeight w:val="71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60759B0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9 </w:t>
            </w:r>
          </w:p>
        </w:tc>
        <w:tc>
          <w:tcPr>
            <w:tcW w:w="3196" w:type="dxa"/>
            <w:tcBorders>
              <w:top w:val="single" w:color="000000" w:sz="4" w:space="0"/>
              <w:left w:val="single" w:color="000000" w:sz="4" w:space="0"/>
              <w:bottom w:val="single" w:color="000000" w:sz="4" w:space="0"/>
              <w:right w:val="single" w:color="000000" w:sz="4" w:space="0"/>
            </w:tcBorders>
          </w:tcPr>
          <w:p w14:paraId="3B8A1CC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68480" behindDoc="0" locked="0" layoutInCell="1" allowOverlap="1">
                  <wp:simplePos x="0" y="0"/>
                  <wp:positionH relativeFrom="column">
                    <wp:posOffset>949325</wp:posOffset>
                  </wp:positionH>
                  <wp:positionV relativeFrom="paragraph">
                    <wp:posOffset>80010</wp:posOffset>
                  </wp:positionV>
                  <wp:extent cx="387350" cy="292100"/>
                  <wp:effectExtent l="0" t="0" r="12700" b="12700"/>
                  <wp:wrapNone/>
                  <wp:docPr id="922518987" name="image8"/>
                  <wp:cNvGraphicFramePr/>
                  <a:graphic xmlns:a="http://schemas.openxmlformats.org/drawingml/2006/main">
                    <a:graphicData uri="http://schemas.openxmlformats.org/drawingml/2006/picture">
                      <pic:pic xmlns:pic="http://schemas.openxmlformats.org/drawingml/2006/picture">
                        <pic:nvPicPr>
                          <pic:cNvPr id="922518987" name="image8"/>
                          <pic:cNvPicPr/>
                        </pic:nvPicPr>
                        <pic:blipFill>
                          <a:blip r:embed="rId48"/>
                          <a:stretch>
                            <a:fillRect/>
                          </a:stretch>
                        </pic:blipFill>
                        <pic:spPr>
                          <a:xfrm>
                            <a:off x="0" y="0"/>
                            <a:ext cx="387350" cy="2921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6FD232F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详见操作说明书</w:t>
            </w:r>
          </w:p>
        </w:tc>
      </w:tr>
      <w:tr w14:paraId="634D6271">
        <w:tblPrEx>
          <w:tblCellMar>
            <w:top w:w="0" w:type="dxa"/>
            <w:left w:w="108" w:type="dxa"/>
            <w:bottom w:w="0" w:type="dxa"/>
            <w:right w:w="108" w:type="dxa"/>
          </w:tblCellMar>
        </w:tblPrEx>
        <w:trPr>
          <w:gridAfter w:val="1"/>
          <w:wAfter w:w="77" w:type="dxa"/>
          <w:trHeight w:val="83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745A513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10 </w:t>
            </w:r>
          </w:p>
        </w:tc>
        <w:tc>
          <w:tcPr>
            <w:tcW w:w="3196" w:type="dxa"/>
            <w:tcBorders>
              <w:top w:val="single" w:color="000000" w:sz="4" w:space="0"/>
              <w:left w:val="single" w:color="000000" w:sz="4" w:space="0"/>
              <w:bottom w:val="single" w:color="000000" w:sz="4" w:space="0"/>
              <w:right w:val="single" w:color="000000" w:sz="4" w:space="0"/>
            </w:tcBorders>
          </w:tcPr>
          <w:p w14:paraId="7CB81FA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69504" behindDoc="0" locked="0" layoutInCell="1" allowOverlap="1">
                  <wp:simplePos x="0" y="0"/>
                  <wp:positionH relativeFrom="column">
                    <wp:posOffset>1083310</wp:posOffset>
                  </wp:positionH>
                  <wp:positionV relativeFrom="paragraph">
                    <wp:posOffset>95250</wp:posOffset>
                  </wp:positionV>
                  <wp:extent cx="120650" cy="336550"/>
                  <wp:effectExtent l="0" t="0" r="12700" b="6350"/>
                  <wp:wrapNone/>
                  <wp:docPr id="1494373783" name="image19"/>
                  <wp:cNvGraphicFramePr/>
                  <a:graphic xmlns:a="http://schemas.openxmlformats.org/drawingml/2006/main">
                    <a:graphicData uri="http://schemas.openxmlformats.org/drawingml/2006/picture">
                      <pic:pic xmlns:pic="http://schemas.openxmlformats.org/drawingml/2006/picture">
                        <pic:nvPicPr>
                          <pic:cNvPr id="1494373783" name="image19"/>
                          <pic:cNvPicPr/>
                        </pic:nvPicPr>
                        <pic:blipFill>
                          <a:blip r:embed="rId49"/>
                          <a:stretch>
                            <a:fillRect/>
                          </a:stretch>
                        </pic:blipFill>
                        <pic:spPr>
                          <a:xfrm>
                            <a:off x="0" y="0"/>
                            <a:ext cx="120650" cy="33655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76BFC5F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开(电源)</w:t>
            </w:r>
          </w:p>
        </w:tc>
      </w:tr>
      <w:tr w14:paraId="313BE33B">
        <w:tblPrEx>
          <w:tblCellMar>
            <w:top w:w="0" w:type="dxa"/>
            <w:left w:w="108" w:type="dxa"/>
            <w:bottom w:w="0" w:type="dxa"/>
            <w:right w:w="108" w:type="dxa"/>
          </w:tblCellMar>
        </w:tblPrEx>
        <w:trPr>
          <w:gridAfter w:val="1"/>
          <w:wAfter w:w="77" w:type="dxa"/>
          <w:trHeight w:val="860" w:hRule="atLeast"/>
        </w:trPr>
        <w:tc>
          <w:tcPr>
            <w:tcW w:w="1422" w:type="dxa"/>
            <w:gridSpan w:val="2"/>
            <w:tcBorders>
              <w:top w:val="single" w:color="000000" w:sz="4" w:space="0"/>
              <w:left w:val="single" w:color="000000" w:sz="4" w:space="0"/>
              <w:bottom w:val="single" w:color="000000" w:sz="4" w:space="0"/>
              <w:right w:val="single" w:color="000000" w:sz="4" w:space="0"/>
            </w:tcBorders>
            <w:vAlign w:val="center"/>
          </w:tcPr>
          <w:p w14:paraId="7391F52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11 </w:t>
            </w:r>
          </w:p>
        </w:tc>
        <w:tc>
          <w:tcPr>
            <w:tcW w:w="3196" w:type="dxa"/>
            <w:tcBorders>
              <w:top w:val="single" w:color="000000" w:sz="4" w:space="0"/>
              <w:left w:val="single" w:color="000000" w:sz="4" w:space="0"/>
              <w:bottom w:val="single" w:color="000000" w:sz="4" w:space="0"/>
              <w:right w:val="single" w:color="000000" w:sz="4" w:space="0"/>
            </w:tcBorders>
          </w:tcPr>
          <w:p w14:paraId="3DC3DF0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1552" behindDoc="0" locked="0" layoutInCell="1" allowOverlap="1">
                  <wp:simplePos x="0" y="0"/>
                  <wp:positionH relativeFrom="column">
                    <wp:posOffset>952500</wp:posOffset>
                  </wp:positionH>
                  <wp:positionV relativeFrom="paragraph">
                    <wp:posOffset>95250</wp:posOffset>
                  </wp:positionV>
                  <wp:extent cx="381000" cy="355600"/>
                  <wp:effectExtent l="0" t="0" r="0" b="6350"/>
                  <wp:wrapNone/>
                  <wp:docPr id="1200558272" name="image3"/>
                  <wp:cNvGraphicFramePr/>
                  <a:graphic xmlns:a="http://schemas.openxmlformats.org/drawingml/2006/main">
                    <a:graphicData uri="http://schemas.openxmlformats.org/drawingml/2006/picture">
                      <pic:pic xmlns:pic="http://schemas.openxmlformats.org/drawingml/2006/picture">
                        <pic:nvPicPr>
                          <pic:cNvPr id="1200558272" name="image3"/>
                          <pic:cNvPicPr/>
                        </pic:nvPicPr>
                        <pic:blipFill>
                          <a:blip r:embed="rId50"/>
                          <a:stretch>
                            <a:fillRect/>
                          </a:stretch>
                        </pic:blipFill>
                        <pic:spPr>
                          <a:xfrm>
                            <a:off x="0" y="0"/>
                            <a:ext cx="381000" cy="35560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000000" w:sz="4" w:space="0"/>
              <w:right w:val="single" w:color="000000" w:sz="4" w:space="0"/>
            </w:tcBorders>
            <w:vAlign w:val="center"/>
          </w:tcPr>
          <w:p w14:paraId="528B1E3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关(电源)</w:t>
            </w:r>
          </w:p>
        </w:tc>
      </w:tr>
      <w:tr w14:paraId="440AC2C9">
        <w:tblPrEx>
          <w:tblCellMar>
            <w:top w:w="0" w:type="dxa"/>
            <w:left w:w="108" w:type="dxa"/>
            <w:bottom w:w="0" w:type="dxa"/>
            <w:right w:w="108" w:type="dxa"/>
          </w:tblCellMar>
        </w:tblPrEx>
        <w:trPr>
          <w:gridAfter w:val="1"/>
          <w:wAfter w:w="77" w:type="dxa"/>
          <w:trHeight w:val="830" w:hRule="atLeast"/>
        </w:trPr>
        <w:tc>
          <w:tcPr>
            <w:tcW w:w="1422" w:type="dxa"/>
            <w:gridSpan w:val="2"/>
            <w:tcBorders>
              <w:top w:val="single" w:color="000000" w:sz="4" w:space="0"/>
              <w:left w:val="single" w:color="000000" w:sz="4" w:space="0"/>
              <w:bottom w:val="single" w:color="auto" w:sz="4" w:space="0"/>
              <w:right w:val="single" w:color="000000" w:sz="4" w:space="0"/>
            </w:tcBorders>
            <w:vAlign w:val="center"/>
          </w:tcPr>
          <w:p w14:paraId="25D0170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12 </w:t>
            </w:r>
          </w:p>
        </w:tc>
        <w:tc>
          <w:tcPr>
            <w:tcW w:w="3196" w:type="dxa"/>
            <w:tcBorders>
              <w:top w:val="single" w:color="000000" w:sz="4" w:space="0"/>
              <w:left w:val="single" w:color="000000" w:sz="4" w:space="0"/>
              <w:bottom w:val="single" w:color="auto" w:sz="4" w:space="0"/>
              <w:right w:val="single" w:color="000000" w:sz="4" w:space="0"/>
            </w:tcBorders>
          </w:tcPr>
          <w:p w14:paraId="59F1C04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72576" behindDoc="0" locked="0" layoutInCell="1" allowOverlap="1">
                  <wp:simplePos x="0" y="0"/>
                  <wp:positionH relativeFrom="column">
                    <wp:posOffset>972185</wp:posOffset>
                  </wp:positionH>
                  <wp:positionV relativeFrom="paragraph">
                    <wp:posOffset>95250</wp:posOffset>
                  </wp:positionV>
                  <wp:extent cx="323850" cy="298450"/>
                  <wp:effectExtent l="0" t="0" r="0" b="6350"/>
                  <wp:wrapNone/>
                  <wp:docPr id="19" name="image14"/>
                  <wp:cNvGraphicFramePr/>
                  <a:graphic xmlns:a="http://schemas.openxmlformats.org/drawingml/2006/main">
                    <a:graphicData uri="http://schemas.openxmlformats.org/drawingml/2006/picture">
                      <pic:pic xmlns:pic="http://schemas.openxmlformats.org/drawingml/2006/picture">
                        <pic:nvPicPr>
                          <pic:cNvPr id="19" name="image14"/>
                          <pic:cNvPicPr/>
                        </pic:nvPicPr>
                        <pic:blipFill>
                          <a:blip r:embed="rId51"/>
                          <a:stretch>
                            <a:fillRect/>
                          </a:stretch>
                        </pic:blipFill>
                        <pic:spPr>
                          <a:xfrm>
                            <a:off x="0" y="0"/>
                            <a:ext cx="323850" cy="298450"/>
                          </a:xfrm>
                          <a:prstGeom prst="rect">
                            <a:avLst/>
                          </a:prstGeom>
                          <a:noFill/>
                          <a:ln>
                            <a:noFill/>
                          </a:ln>
                        </pic:spPr>
                      </pic:pic>
                    </a:graphicData>
                  </a:graphic>
                </wp:anchor>
              </w:drawing>
            </w:r>
            <w:r>
              <w:rPr>
                <w:rFonts w:ascii="宋体" w:hAnsi="宋体" w:cs="宋体"/>
                <w:color w:val="000000"/>
                <w:kern w:val="0"/>
                <w:sz w:val="18"/>
                <w:szCs w:val="18"/>
              </w:rPr>
              <w:drawing>
                <wp:anchor distT="0" distB="0" distL="114300" distR="114300" simplePos="0" relativeHeight="251670528" behindDoc="0" locked="0" layoutInCell="1" allowOverlap="1">
                  <wp:simplePos x="0" y="0"/>
                  <wp:positionH relativeFrom="column">
                    <wp:posOffset>1003935</wp:posOffset>
                  </wp:positionH>
                  <wp:positionV relativeFrom="paragraph">
                    <wp:posOffset>141605</wp:posOffset>
                  </wp:positionV>
                  <wp:extent cx="239395" cy="313690"/>
                  <wp:effectExtent l="0" t="0" r="8255" b="0"/>
                  <wp:wrapNone/>
                  <wp:docPr id="1164316930" name="textbox18"/>
                  <wp:cNvGraphicFramePr/>
                  <a:graphic xmlns:a="http://schemas.openxmlformats.org/drawingml/2006/main">
                    <a:graphicData uri="http://schemas.openxmlformats.org/drawingml/2006/picture">
                      <pic:pic xmlns:pic="http://schemas.openxmlformats.org/drawingml/2006/picture">
                        <pic:nvPicPr>
                          <pic:cNvPr id="1164316930" name="textbox18"/>
                          <pic:cNvPicPr/>
                        </pic:nvPicPr>
                        <pic:blipFill>
                          <a:blip r:embed="rId52"/>
                          <a:stretch>
                            <a:fillRect/>
                          </a:stretch>
                        </pic:blipFill>
                        <pic:spPr>
                          <a:xfrm>
                            <a:off x="0" y="0"/>
                            <a:ext cx="239395" cy="313690"/>
                          </a:xfrm>
                          <a:prstGeom prst="rect">
                            <a:avLst/>
                          </a:prstGeom>
                          <a:noFill/>
                          <a:ln>
                            <a:noFill/>
                          </a:ln>
                        </pic:spPr>
                      </pic:pic>
                    </a:graphicData>
                  </a:graphic>
                </wp:anchor>
              </w:drawing>
            </w:r>
          </w:p>
        </w:tc>
        <w:tc>
          <w:tcPr>
            <w:tcW w:w="5129" w:type="dxa"/>
            <w:gridSpan w:val="2"/>
            <w:tcBorders>
              <w:top w:val="single" w:color="000000" w:sz="4" w:space="0"/>
              <w:left w:val="single" w:color="000000" w:sz="4" w:space="0"/>
              <w:bottom w:val="single" w:color="auto" w:sz="4" w:space="0"/>
              <w:right w:val="single" w:color="000000" w:sz="4" w:space="0"/>
            </w:tcBorders>
            <w:vAlign w:val="center"/>
          </w:tcPr>
          <w:p w14:paraId="7657EED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通过双重绝缘或加强绝缘保护的设备</w:t>
            </w:r>
          </w:p>
        </w:tc>
      </w:tr>
      <w:tr w14:paraId="2896109D">
        <w:tblPrEx>
          <w:tblCellMar>
            <w:top w:w="0" w:type="dxa"/>
            <w:left w:w="108" w:type="dxa"/>
            <w:bottom w:w="0" w:type="dxa"/>
            <w:right w:w="108" w:type="dxa"/>
          </w:tblCellMar>
        </w:tblPrEx>
        <w:trPr>
          <w:gridAfter w:val="1"/>
          <w:wAfter w:w="77" w:type="dxa"/>
          <w:trHeight w:val="840" w:hRule="atLeast"/>
        </w:trPr>
        <w:tc>
          <w:tcPr>
            <w:tcW w:w="1422" w:type="dxa"/>
            <w:gridSpan w:val="2"/>
            <w:tcBorders>
              <w:top w:val="single" w:color="auto" w:sz="4" w:space="0"/>
              <w:left w:val="single" w:color="auto" w:sz="4" w:space="0"/>
              <w:bottom w:val="single" w:color="auto" w:sz="4" w:space="0"/>
              <w:right w:val="single" w:color="auto" w:sz="4" w:space="0"/>
            </w:tcBorders>
            <w:vAlign w:val="center"/>
          </w:tcPr>
          <w:p w14:paraId="2A9B727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13 </w:t>
            </w:r>
          </w:p>
        </w:tc>
        <w:tc>
          <w:tcPr>
            <w:tcW w:w="3196" w:type="dxa"/>
            <w:tcBorders>
              <w:top w:val="single" w:color="auto" w:sz="4" w:space="0"/>
              <w:left w:val="single" w:color="auto" w:sz="4" w:space="0"/>
              <w:bottom w:val="single" w:color="auto" w:sz="4" w:space="0"/>
              <w:right w:val="single" w:color="auto" w:sz="4" w:space="0"/>
            </w:tcBorders>
          </w:tcPr>
          <w:p w14:paraId="37B90A5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0768" behindDoc="0" locked="0" layoutInCell="1" allowOverlap="1">
                  <wp:simplePos x="0" y="0"/>
                  <wp:positionH relativeFrom="column">
                    <wp:posOffset>968375</wp:posOffset>
                  </wp:positionH>
                  <wp:positionV relativeFrom="paragraph">
                    <wp:posOffset>85725</wp:posOffset>
                  </wp:positionV>
                  <wp:extent cx="349250" cy="361950"/>
                  <wp:effectExtent l="0" t="0" r="12700" b="0"/>
                  <wp:wrapNone/>
                  <wp:docPr id="30" name="image4"/>
                  <wp:cNvGraphicFramePr/>
                  <a:graphic xmlns:a="http://schemas.openxmlformats.org/drawingml/2006/main">
                    <a:graphicData uri="http://schemas.openxmlformats.org/drawingml/2006/picture">
                      <pic:pic xmlns:pic="http://schemas.openxmlformats.org/drawingml/2006/picture">
                        <pic:nvPicPr>
                          <pic:cNvPr id="30" name="image4"/>
                          <pic:cNvPicPr/>
                        </pic:nvPicPr>
                        <pic:blipFill>
                          <a:blip r:embed="rId53"/>
                          <a:stretch>
                            <a:fillRect/>
                          </a:stretch>
                        </pic:blipFill>
                        <pic:spPr>
                          <a:xfrm>
                            <a:off x="0" y="0"/>
                            <a:ext cx="349250" cy="361950"/>
                          </a:xfrm>
                          <a:prstGeom prst="rect">
                            <a:avLst/>
                          </a:prstGeom>
                          <a:noFill/>
                          <a:ln>
                            <a:noFill/>
                          </a:ln>
                        </pic:spPr>
                      </pic:pic>
                    </a:graphicData>
                  </a:graphic>
                </wp:anchor>
              </w:drawing>
            </w:r>
          </w:p>
        </w:tc>
        <w:tc>
          <w:tcPr>
            <w:tcW w:w="5129" w:type="dxa"/>
            <w:gridSpan w:val="2"/>
            <w:tcBorders>
              <w:top w:val="single" w:color="auto" w:sz="4" w:space="0"/>
              <w:left w:val="single" w:color="auto" w:sz="4" w:space="0"/>
              <w:bottom w:val="single" w:color="auto" w:sz="4" w:space="0"/>
              <w:right w:val="single" w:color="auto" w:sz="4" w:space="0"/>
            </w:tcBorders>
            <w:vAlign w:val="center"/>
          </w:tcPr>
          <w:p w14:paraId="366429D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电击危险</w:t>
            </w:r>
          </w:p>
        </w:tc>
      </w:tr>
      <w:tr w14:paraId="758C55FB">
        <w:tblPrEx>
          <w:tblCellMar>
            <w:top w:w="0" w:type="dxa"/>
            <w:left w:w="108" w:type="dxa"/>
            <w:bottom w:w="0" w:type="dxa"/>
            <w:right w:w="108" w:type="dxa"/>
          </w:tblCellMar>
        </w:tblPrEx>
        <w:trPr>
          <w:gridAfter w:val="1"/>
          <w:wAfter w:w="77" w:type="dxa"/>
          <w:trHeight w:val="850" w:hRule="atLeast"/>
        </w:trPr>
        <w:tc>
          <w:tcPr>
            <w:tcW w:w="1422" w:type="dxa"/>
            <w:gridSpan w:val="2"/>
            <w:tcBorders>
              <w:top w:val="single" w:color="auto" w:sz="4" w:space="0"/>
              <w:left w:val="single" w:color="auto" w:sz="4" w:space="0"/>
              <w:bottom w:val="single" w:color="auto" w:sz="4" w:space="0"/>
              <w:right w:val="single" w:color="auto" w:sz="4" w:space="0"/>
            </w:tcBorders>
            <w:vAlign w:val="center"/>
          </w:tcPr>
          <w:p w14:paraId="11B3F9E6">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14 </w:t>
            </w:r>
          </w:p>
        </w:tc>
        <w:tc>
          <w:tcPr>
            <w:tcW w:w="3196" w:type="dxa"/>
            <w:tcBorders>
              <w:top w:val="single" w:color="auto" w:sz="4" w:space="0"/>
              <w:left w:val="single" w:color="auto" w:sz="4" w:space="0"/>
              <w:bottom w:val="single" w:color="auto" w:sz="4" w:space="0"/>
              <w:right w:val="single" w:color="auto" w:sz="4" w:space="0"/>
            </w:tcBorders>
          </w:tcPr>
          <w:p w14:paraId="78DD097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1792" behindDoc="0" locked="0" layoutInCell="1" allowOverlap="1">
                  <wp:simplePos x="0" y="0"/>
                  <wp:positionH relativeFrom="column">
                    <wp:posOffset>968375</wp:posOffset>
                  </wp:positionH>
                  <wp:positionV relativeFrom="paragraph">
                    <wp:posOffset>114935</wp:posOffset>
                  </wp:positionV>
                  <wp:extent cx="349250" cy="311150"/>
                  <wp:effectExtent l="0" t="0" r="12700" b="12700"/>
                  <wp:wrapNone/>
                  <wp:docPr id="33" name="image10"/>
                  <wp:cNvGraphicFramePr/>
                  <a:graphic xmlns:a="http://schemas.openxmlformats.org/drawingml/2006/main">
                    <a:graphicData uri="http://schemas.openxmlformats.org/drawingml/2006/picture">
                      <pic:pic xmlns:pic="http://schemas.openxmlformats.org/drawingml/2006/picture">
                        <pic:nvPicPr>
                          <pic:cNvPr id="33" name="image10"/>
                          <pic:cNvPicPr/>
                        </pic:nvPicPr>
                        <pic:blipFill>
                          <a:blip r:embed="rId54"/>
                          <a:stretch>
                            <a:fillRect/>
                          </a:stretch>
                        </pic:blipFill>
                        <pic:spPr>
                          <a:xfrm>
                            <a:off x="0" y="0"/>
                            <a:ext cx="349250" cy="311150"/>
                          </a:xfrm>
                          <a:prstGeom prst="rect">
                            <a:avLst/>
                          </a:prstGeom>
                          <a:noFill/>
                          <a:ln>
                            <a:noFill/>
                          </a:ln>
                        </pic:spPr>
                      </pic:pic>
                    </a:graphicData>
                  </a:graphic>
                </wp:anchor>
              </w:drawing>
            </w:r>
          </w:p>
        </w:tc>
        <w:tc>
          <w:tcPr>
            <w:tcW w:w="5129" w:type="dxa"/>
            <w:gridSpan w:val="2"/>
            <w:tcBorders>
              <w:top w:val="single" w:color="auto" w:sz="4" w:space="0"/>
              <w:left w:val="single" w:color="auto" w:sz="4" w:space="0"/>
              <w:bottom w:val="single" w:color="auto" w:sz="4" w:space="0"/>
              <w:right w:val="single" w:color="auto" w:sz="4" w:space="0"/>
            </w:tcBorders>
            <w:vAlign w:val="center"/>
          </w:tcPr>
          <w:p w14:paraId="08D8C93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灼热表面</w:t>
            </w:r>
          </w:p>
        </w:tc>
      </w:tr>
      <w:tr w14:paraId="18DE1976">
        <w:tblPrEx>
          <w:tblCellMar>
            <w:top w:w="0" w:type="dxa"/>
            <w:left w:w="108" w:type="dxa"/>
            <w:bottom w:w="0" w:type="dxa"/>
            <w:right w:w="108" w:type="dxa"/>
          </w:tblCellMar>
        </w:tblPrEx>
        <w:trPr>
          <w:trHeight w:val="475"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7B003CA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编号</w:t>
            </w:r>
          </w:p>
        </w:tc>
        <w:tc>
          <w:tcPr>
            <w:tcW w:w="3209" w:type="dxa"/>
            <w:gridSpan w:val="2"/>
            <w:tcBorders>
              <w:top w:val="single" w:color="000000" w:sz="4" w:space="0"/>
              <w:left w:val="single" w:color="000000" w:sz="4" w:space="0"/>
              <w:bottom w:val="single" w:color="000000" w:sz="4" w:space="0"/>
              <w:right w:val="single" w:color="000000" w:sz="4" w:space="0"/>
            </w:tcBorders>
            <w:vAlign w:val="center"/>
          </w:tcPr>
          <w:p w14:paraId="3DD7056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符号</w:t>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1457423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描述</w:t>
            </w:r>
          </w:p>
        </w:tc>
      </w:tr>
      <w:tr w14:paraId="5A8E5611">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50DD593E">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15</w:t>
            </w:r>
          </w:p>
        </w:tc>
        <w:tc>
          <w:tcPr>
            <w:tcW w:w="3209" w:type="dxa"/>
            <w:gridSpan w:val="2"/>
            <w:tcBorders>
              <w:top w:val="single" w:color="000000" w:sz="4" w:space="0"/>
              <w:left w:val="single" w:color="000000" w:sz="4" w:space="0"/>
              <w:bottom w:val="single" w:color="000000" w:sz="4" w:space="0"/>
              <w:right w:val="single" w:color="000000" w:sz="4" w:space="0"/>
            </w:tcBorders>
          </w:tcPr>
          <w:p w14:paraId="7077503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7936" behindDoc="0" locked="0" layoutInCell="1" allowOverlap="1">
                  <wp:simplePos x="0" y="0"/>
                  <wp:positionH relativeFrom="column">
                    <wp:posOffset>971550</wp:posOffset>
                  </wp:positionH>
                  <wp:positionV relativeFrom="paragraph">
                    <wp:posOffset>111125</wp:posOffset>
                  </wp:positionV>
                  <wp:extent cx="342900" cy="304800"/>
                  <wp:effectExtent l="0" t="0" r="0" b="0"/>
                  <wp:wrapNone/>
                  <wp:docPr id="39" name="image13"/>
                  <wp:cNvGraphicFramePr/>
                  <a:graphic xmlns:a="http://schemas.openxmlformats.org/drawingml/2006/main">
                    <a:graphicData uri="http://schemas.openxmlformats.org/drawingml/2006/picture">
                      <pic:pic xmlns:pic="http://schemas.openxmlformats.org/drawingml/2006/picture">
                        <pic:nvPicPr>
                          <pic:cNvPr id="39" name="image13"/>
                          <pic:cNvPicPr/>
                        </pic:nvPicPr>
                        <pic:blipFill>
                          <a:blip r:embed="rId55"/>
                          <a:stretch>
                            <a:fillRect/>
                          </a:stretch>
                        </pic:blipFill>
                        <pic:spPr>
                          <a:xfrm>
                            <a:off x="0" y="0"/>
                            <a:ext cx="342900" cy="304800"/>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631CF453">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highlight w:val="none"/>
                <w:lang w:val="en-US" w:eastAsia="zh-CN" w:bidi="ar"/>
              </w:rPr>
              <w:t>注意危险</w:t>
            </w:r>
            <w:r>
              <w:rPr>
                <w:rFonts w:ascii="宋体" w:hAnsi="宋体" w:cs="宋体"/>
                <w:color w:val="000000"/>
                <w:kern w:val="0"/>
                <w:sz w:val="18"/>
                <w:szCs w:val="18"/>
                <w:highlight w:val="none"/>
                <w:lang w:bidi="ar"/>
              </w:rPr>
              <w:t xml:space="preserve"> </w:t>
            </w:r>
          </w:p>
        </w:tc>
      </w:tr>
      <w:tr w14:paraId="7E1F49EB">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1DC5614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16 </w:t>
            </w:r>
          </w:p>
        </w:tc>
        <w:tc>
          <w:tcPr>
            <w:tcW w:w="3209" w:type="dxa"/>
            <w:gridSpan w:val="2"/>
            <w:tcBorders>
              <w:top w:val="single" w:color="000000" w:sz="4" w:space="0"/>
              <w:left w:val="single" w:color="000000" w:sz="4" w:space="0"/>
              <w:bottom w:val="single" w:color="000000" w:sz="4" w:space="0"/>
              <w:right w:val="single" w:color="000000" w:sz="4" w:space="0"/>
            </w:tcBorders>
          </w:tcPr>
          <w:p w14:paraId="4F42C0A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8960" behindDoc="0" locked="0" layoutInCell="1" allowOverlap="1">
                  <wp:simplePos x="0" y="0"/>
                  <wp:positionH relativeFrom="column">
                    <wp:posOffset>889635</wp:posOffset>
                  </wp:positionH>
                  <wp:positionV relativeFrom="paragraph">
                    <wp:posOffset>165100</wp:posOffset>
                  </wp:positionV>
                  <wp:extent cx="508000" cy="215900"/>
                  <wp:effectExtent l="0" t="0" r="6350" b="12700"/>
                  <wp:wrapNone/>
                  <wp:docPr id="41" name="image9"/>
                  <wp:cNvGraphicFramePr/>
                  <a:graphic xmlns:a="http://schemas.openxmlformats.org/drawingml/2006/main">
                    <a:graphicData uri="http://schemas.openxmlformats.org/drawingml/2006/picture">
                      <pic:pic xmlns:pic="http://schemas.openxmlformats.org/drawingml/2006/picture">
                        <pic:nvPicPr>
                          <pic:cNvPr id="41" name="image9"/>
                          <pic:cNvPicPr/>
                        </pic:nvPicPr>
                        <pic:blipFill>
                          <a:blip r:embed="rId56"/>
                          <a:stretch>
                            <a:fillRect/>
                          </a:stretch>
                        </pic:blipFill>
                        <pic:spPr>
                          <a:xfrm>
                            <a:off x="0" y="0"/>
                            <a:ext cx="508000" cy="215900"/>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615A5BE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按键开启</w:t>
            </w:r>
          </w:p>
        </w:tc>
      </w:tr>
      <w:tr w14:paraId="43AB2508">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28F6F71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17 </w:t>
            </w:r>
          </w:p>
        </w:tc>
        <w:tc>
          <w:tcPr>
            <w:tcW w:w="3209" w:type="dxa"/>
            <w:gridSpan w:val="2"/>
            <w:tcBorders>
              <w:top w:val="single" w:color="000000" w:sz="4" w:space="0"/>
              <w:left w:val="single" w:color="000000" w:sz="4" w:space="0"/>
              <w:bottom w:val="single" w:color="000000" w:sz="4" w:space="0"/>
              <w:right w:val="single" w:color="000000" w:sz="4" w:space="0"/>
            </w:tcBorders>
          </w:tcPr>
          <w:p w14:paraId="5864E4C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9984" behindDoc="0" locked="0" layoutInCell="1" allowOverlap="1">
                  <wp:simplePos x="0" y="0"/>
                  <wp:positionH relativeFrom="column">
                    <wp:posOffset>946150</wp:posOffset>
                  </wp:positionH>
                  <wp:positionV relativeFrom="paragraph">
                    <wp:posOffset>89535</wp:posOffset>
                  </wp:positionV>
                  <wp:extent cx="393700" cy="349250"/>
                  <wp:effectExtent l="0" t="0" r="6350" b="12700"/>
                  <wp:wrapNone/>
                  <wp:docPr id="42" name="image2"/>
                  <wp:cNvGraphicFramePr/>
                  <a:graphic xmlns:a="http://schemas.openxmlformats.org/drawingml/2006/main">
                    <a:graphicData uri="http://schemas.openxmlformats.org/drawingml/2006/picture">
                      <pic:pic xmlns:pic="http://schemas.openxmlformats.org/drawingml/2006/picture">
                        <pic:nvPicPr>
                          <pic:cNvPr id="42" name="image2"/>
                          <pic:cNvPicPr/>
                        </pic:nvPicPr>
                        <pic:blipFill>
                          <a:blip r:embed="rId57"/>
                          <a:stretch>
                            <a:fillRect/>
                          </a:stretch>
                        </pic:blipFill>
                        <pic:spPr>
                          <a:xfrm>
                            <a:off x="0" y="0"/>
                            <a:ext cx="393700" cy="349250"/>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2FF007D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按键关闭</w:t>
            </w:r>
          </w:p>
        </w:tc>
      </w:tr>
      <w:tr w14:paraId="38FCC41A">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7BB2A97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18 </w:t>
            </w:r>
          </w:p>
        </w:tc>
        <w:tc>
          <w:tcPr>
            <w:tcW w:w="3209" w:type="dxa"/>
            <w:gridSpan w:val="2"/>
            <w:tcBorders>
              <w:top w:val="single" w:color="000000" w:sz="4" w:space="0"/>
              <w:left w:val="single" w:color="000000" w:sz="4" w:space="0"/>
              <w:bottom w:val="single" w:color="000000" w:sz="4" w:space="0"/>
              <w:right w:val="single" w:color="000000" w:sz="4" w:space="0"/>
            </w:tcBorders>
          </w:tcPr>
          <w:p w14:paraId="7A28889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91008" behindDoc="0" locked="0" layoutInCell="1" allowOverlap="1">
                  <wp:simplePos x="0" y="0"/>
                  <wp:positionH relativeFrom="column">
                    <wp:posOffset>895350</wp:posOffset>
                  </wp:positionH>
                  <wp:positionV relativeFrom="paragraph">
                    <wp:posOffset>95250</wp:posOffset>
                  </wp:positionV>
                  <wp:extent cx="488950" cy="349250"/>
                  <wp:effectExtent l="0" t="0" r="6350" b="12700"/>
                  <wp:wrapNone/>
                  <wp:docPr id="43" name="image1"/>
                  <wp:cNvGraphicFramePr/>
                  <a:graphic xmlns:a="http://schemas.openxmlformats.org/drawingml/2006/main">
                    <a:graphicData uri="http://schemas.openxmlformats.org/drawingml/2006/picture">
                      <pic:pic xmlns:pic="http://schemas.openxmlformats.org/drawingml/2006/picture">
                        <pic:nvPicPr>
                          <pic:cNvPr id="43" name="image1"/>
                          <pic:cNvPicPr/>
                        </pic:nvPicPr>
                        <pic:blipFill>
                          <a:blip r:embed="rId58"/>
                          <a:stretch>
                            <a:fillRect/>
                          </a:stretch>
                        </pic:blipFill>
                        <pic:spPr>
                          <a:xfrm>
                            <a:off x="0" y="0"/>
                            <a:ext cx="488950" cy="349250"/>
                          </a:xfrm>
                          <a:prstGeom prst="rect">
                            <a:avLst/>
                          </a:prstGeom>
                          <a:noFill/>
                          <a:ln>
                            <a:noFill/>
                          </a:ln>
                        </pic:spPr>
                      </pic:pic>
                    </a:graphicData>
                  </a:graphic>
                </wp:anchor>
              </w:drawing>
            </w:r>
            <w:r>
              <w:rPr>
                <w:rFonts w:ascii="宋体" w:hAnsi="宋体" w:cs="宋体"/>
                <w:color w:val="000000"/>
                <w:kern w:val="0"/>
                <w:sz w:val="18"/>
                <w:szCs w:val="18"/>
              </w:rPr>
              <w:drawing>
                <wp:anchor distT="0" distB="0" distL="114300" distR="114300" simplePos="0" relativeHeight="251692032" behindDoc="0" locked="0" layoutInCell="1" allowOverlap="1">
                  <wp:simplePos x="0" y="0"/>
                  <wp:positionH relativeFrom="column">
                    <wp:posOffset>1080135</wp:posOffset>
                  </wp:positionH>
                  <wp:positionV relativeFrom="paragraph">
                    <wp:posOffset>181610</wp:posOffset>
                  </wp:positionV>
                  <wp:extent cx="117475" cy="282575"/>
                  <wp:effectExtent l="0" t="0" r="15875" b="0"/>
                  <wp:wrapNone/>
                  <wp:docPr id="44" name="textbox20"/>
                  <wp:cNvGraphicFramePr/>
                  <a:graphic xmlns:a="http://schemas.openxmlformats.org/drawingml/2006/main">
                    <a:graphicData uri="http://schemas.openxmlformats.org/drawingml/2006/picture">
                      <pic:pic xmlns:pic="http://schemas.openxmlformats.org/drawingml/2006/picture">
                        <pic:nvPicPr>
                          <pic:cNvPr id="44" name="textbox20"/>
                          <pic:cNvPicPr/>
                        </pic:nvPicPr>
                        <pic:blipFill>
                          <a:blip r:embed="rId59"/>
                          <a:stretch>
                            <a:fillRect/>
                          </a:stretch>
                        </pic:blipFill>
                        <pic:spPr>
                          <a:xfrm>
                            <a:off x="0" y="0"/>
                            <a:ext cx="117475" cy="282575"/>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2778CF9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输入端子或定额</w:t>
            </w:r>
          </w:p>
        </w:tc>
      </w:tr>
      <w:tr w14:paraId="3073B05E">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3D349FD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19 </w:t>
            </w:r>
          </w:p>
        </w:tc>
        <w:tc>
          <w:tcPr>
            <w:tcW w:w="3209" w:type="dxa"/>
            <w:gridSpan w:val="2"/>
            <w:tcBorders>
              <w:top w:val="single" w:color="000000" w:sz="4" w:space="0"/>
              <w:left w:val="single" w:color="000000" w:sz="4" w:space="0"/>
              <w:bottom w:val="single" w:color="000000" w:sz="4" w:space="0"/>
              <w:right w:val="single" w:color="000000" w:sz="4" w:space="0"/>
            </w:tcBorders>
          </w:tcPr>
          <w:p w14:paraId="6F645F2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2816" behindDoc="0" locked="0" layoutInCell="1" allowOverlap="1">
                  <wp:simplePos x="0" y="0"/>
                  <wp:positionH relativeFrom="column">
                    <wp:posOffset>921385</wp:posOffset>
                  </wp:positionH>
                  <wp:positionV relativeFrom="paragraph">
                    <wp:posOffset>111760</wp:posOffset>
                  </wp:positionV>
                  <wp:extent cx="457200" cy="311150"/>
                  <wp:effectExtent l="0" t="0" r="0" b="12700"/>
                  <wp:wrapNone/>
                  <wp:docPr id="34" name="image3"/>
                  <wp:cNvGraphicFramePr/>
                  <a:graphic xmlns:a="http://schemas.openxmlformats.org/drawingml/2006/main">
                    <a:graphicData uri="http://schemas.openxmlformats.org/drawingml/2006/picture">
                      <pic:pic xmlns:pic="http://schemas.openxmlformats.org/drawingml/2006/picture">
                        <pic:nvPicPr>
                          <pic:cNvPr id="34" name="image3"/>
                          <pic:cNvPicPr/>
                        </pic:nvPicPr>
                        <pic:blipFill>
                          <a:blip r:embed="rId60"/>
                          <a:stretch>
                            <a:fillRect/>
                          </a:stretch>
                        </pic:blipFill>
                        <pic:spPr>
                          <a:xfrm>
                            <a:off x="0" y="0"/>
                            <a:ext cx="457200" cy="311150"/>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48CC469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输出端子或定额</w:t>
            </w:r>
          </w:p>
        </w:tc>
      </w:tr>
      <w:tr w14:paraId="01636141">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5265460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20 </w:t>
            </w:r>
          </w:p>
        </w:tc>
        <w:tc>
          <w:tcPr>
            <w:tcW w:w="3209" w:type="dxa"/>
            <w:gridSpan w:val="2"/>
            <w:tcBorders>
              <w:top w:val="single" w:color="000000" w:sz="4" w:space="0"/>
              <w:left w:val="single" w:color="000000" w:sz="4" w:space="0"/>
              <w:bottom w:val="single" w:color="000000" w:sz="4" w:space="0"/>
              <w:right w:val="single" w:color="000000" w:sz="4" w:space="0"/>
            </w:tcBorders>
          </w:tcPr>
          <w:p w14:paraId="43C1EE5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3840" behindDoc="0" locked="0" layoutInCell="1" allowOverlap="1">
                  <wp:simplePos x="0" y="0"/>
                  <wp:positionH relativeFrom="column">
                    <wp:posOffset>927735</wp:posOffset>
                  </wp:positionH>
                  <wp:positionV relativeFrom="paragraph">
                    <wp:posOffset>107950</wp:posOffset>
                  </wp:positionV>
                  <wp:extent cx="450850" cy="311150"/>
                  <wp:effectExtent l="0" t="0" r="6350" b="12700"/>
                  <wp:wrapNone/>
                  <wp:docPr id="35" name="image4"/>
                  <wp:cNvGraphicFramePr/>
                  <a:graphic xmlns:a="http://schemas.openxmlformats.org/drawingml/2006/main">
                    <a:graphicData uri="http://schemas.openxmlformats.org/drawingml/2006/picture">
                      <pic:pic xmlns:pic="http://schemas.openxmlformats.org/drawingml/2006/picture">
                        <pic:nvPicPr>
                          <pic:cNvPr id="35" name="image4"/>
                          <pic:cNvPicPr/>
                        </pic:nvPicPr>
                        <pic:blipFill>
                          <a:blip r:embed="rId61"/>
                          <a:stretch>
                            <a:fillRect/>
                          </a:stretch>
                        </pic:blipFill>
                        <pic:spPr>
                          <a:xfrm>
                            <a:off x="0" y="0"/>
                            <a:ext cx="450850" cy="311150"/>
                          </a:xfrm>
                          <a:prstGeom prst="rect">
                            <a:avLst/>
                          </a:prstGeom>
                          <a:noFill/>
                          <a:ln>
                            <a:noFill/>
                          </a:ln>
                        </pic:spPr>
                      </pic:pic>
                    </a:graphicData>
                  </a:graphic>
                </wp:anchor>
              </w:drawing>
            </w:r>
            <w:r>
              <w:rPr>
                <w:rFonts w:ascii="宋体" w:hAnsi="宋体" w:cs="宋体"/>
                <w:color w:val="000000"/>
                <w:kern w:val="0"/>
                <w:sz w:val="18"/>
                <w:szCs w:val="18"/>
              </w:rPr>
              <w:drawing>
                <wp:anchor distT="0" distB="0" distL="114300" distR="114300" simplePos="0" relativeHeight="251684864" behindDoc="0" locked="0" layoutInCell="1" allowOverlap="1">
                  <wp:simplePos x="0" y="0"/>
                  <wp:positionH relativeFrom="column">
                    <wp:posOffset>1080135</wp:posOffset>
                  </wp:positionH>
                  <wp:positionV relativeFrom="paragraph">
                    <wp:posOffset>158750</wp:posOffset>
                  </wp:positionV>
                  <wp:extent cx="88900" cy="247650"/>
                  <wp:effectExtent l="0" t="0" r="5080" b="0"/>
                  <wp:wrapNone/>
                  <wp:docPr id="36" name="textbox5"/>
                  <wp:cNvGraphicFramePr/>
                  <a:graphic xmlns:a="http://schemas.openxmlformats.org/drawingml/2006/main">
                    <a:graphicData uri="http://schemas.openxmlformats.org/drawingml/2006/picture">
                      <pic:pic xmlns:pic="http://schemas.openxmlformats.org/drawingml/2006/picture">
                        <pic:nvPicPr>
                          <pic:cNvPr id="36" name="textbox5"/>
                          <pic:cNvPicPr/>
                        </pic:nvPicPr>
                        <pic:blipFill>
                          <a:blip r:embed="rId62"/>
                          <a:stretch>
                            <a:fillRect/>
                          </a:stretch>
                        </pic:blipFill>
                        <pic:spPr>
                          <a:xfrm>
                            <a:off x="0" y="0"/>
                            <a:ext cx="88900" cy="247650"/>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317B862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双向端子或定额</w:t>
            </w:r>
          </w:p>
        </w:tc>
      </w:tr>
      <w:tr w14:paraId="43147E56">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10596AFF">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21 </w:t>
            </w:r>
          </w:p>
        </w:tc>
        <w:tc>
          <w:tcPr>
            <w:tcW w:w="3209" w:type="dxa"/>
            <w:gridSpan w:val="2"/>
            <w:tcBorders>
              <w:top w:val="single" w:color="000000" w:sz="4" w:space="0"/>
              <w:left w:val="single" w:color="000000" w:sz="4" w:space="0"/>
              <w:bottom w:val="single" w:color="000000" w:sz="4" w:space="0"/>
              <w:right w:val="single" w:color="000000" w:sz="4" w:space="0"/>
            </w:tcBorders>
          </w:tcPr>
          <w:p w14:paraId="17B2579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5888" behindDoc="0" locked="0" layoutInCell="1" allowOverlap="1">
                  <wp:simplePos x="0" y="0"/>
                  <wp:positionH relativeFrom="column">
                    <wp:posOffset>635000</wp:posOffset>
                  </wp:positionH>
                  <wp:positionV relativeFrom="paragraph">
                    <wp:posOffset>38735</wp:posOffset>
                  </wp:positionV>
                  <wp:extent cx="952500" cy="451485"/>
                  <wp:effectExtent l="0" t="0" r="0" b="5715"/>
                  <wp:wrapNone/>
                  <wp:docPr id="37" name="image1"/>
                  <wp:cNvGraphicFramePr/>
                  <a:graphic xmlns:a="http://schemas.openxmlformats.org/drawingml/2006/main">
                    <a:graphicData uri="http://schemas.openxmlformats.org/drawingml/2006/picture">
                      <pic:pic xmlns:pic="http://schemas.openxmlformats.org/drawingml/2006/picture">
                        <pic:nvPicPr>
                          <pic:cNvPr id="37" name="image1"/>
                          <pic:cNvPicPr/>
                        </pic:nvPicPr>
                        <pic:blipFill>
                          <a:blip r:embed="rId63"/>
                          <a:stretch>
                            <a:fillRect/>
                          </a:stretch>
                        </pic:blipFill>
                        <pic:spPr>
                          <a:xfrm>
                            <a:off x="0" y="0"/>
                            <a:ext cx="952500" cy="451485"/>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6E77E1D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注意，电击危险，能量存储定时释放</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(放电时间标注在符号旁边)</w:t>
            </w:r>
          </w:p>
        </w:tc>
      </w:tr>
      <w:tr w14:paraId="45D06A74">
        <w:tblPrEx>
          <w:tblCellMar>
            <w:top w:w="0" w:type="dxa"/>
            <w:left w:w="108" w:type="dxa"/>
            <w:bottom w:w="0" w:type="dxa"/>
            <w:right w:w="108" w:type="dxa"/>
          </w:tblCellMar>
        </w:tblPrEx>
        <w:trPr>
          <w:trHeight w:val="680" w:hRule="atLeast"/>
        </w:trPr>
        <w:tc>
          <w:tcPr>
            <w:tcW w:w="1409" w:type="dxa"/>
            <w:tcBorders>
              <w:top w:val="single" w:color="000000" w:sz="4" w:space="0"/>
              <w:left w:val="single" w:color="000000" w:sz="4" w:space="0"/>
              <w:bottom w:val="single" w:color="000000" w:sz="4" w:space="0"/>
              <w:right w:val="single" w:color="000000" w:sz="4" w:space="0"/>
            </w:tcBorders>
            <w:vAlign w:val="center"/>
          </w:tcPr>
          <w:p w14:paraId="7C715AF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22 </w:t>
            </w:r>
          </w:p>
        </w:tc>
        <w:tc>
          <w:tcPr>
            <w:tcW w:w="3209" w:type="dxa"/>
            <w:gridSpan w:val="2"/>
            <w:tcBorders>
              <w:top w:val="single" w:color="000000" w:sz="4" w:space="0"/>
              <w:left w:val="single" w:color="000000" w:sz="4" w:space="0"/>
              <w:bottom w:val="single" w:color="000000" w:sz="4" w:space="0"/>
              <w:right w:val="single" w:color="000000" w:sz="4" w:space="0"/>
            </w:tcBorders>
          </w:tcPr>
          <w:p w14:paraId="60A7B26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rPr>
              <w:drawing>
                <wp:anchor distT="0" distB="0" distL="114300" distR="114300" simplePos="0" relativeHeight="251686912" behindDoc="0" locked="0" layoutInCell="1" allowOverlap="1">
                  <wp:simplePos x="0" y="0"/>
                  <wp:positionH relativeFrom="column">
                    <wp:posOffset>807085</wp:posOffset>
                  </wp:positionH>
                  <wp:positionV relativeFrom="paragraph">
                    <wp:posOffset>45720</wp:posOffset>
                  </wp:positionV>
                  <wp:extent cx="485775" cy="384810"/>
                  <wp:effectExtent l="0" t="0" r="9525" b="15240"/>
                  <wp:wrapNone/>
                  <wp:docPr id="38" name="image2"/>
                  <wp:cNvGraphicFramePr/>
                  <a:graphic xmlns:a="http://schemas.openxmlformats.org/drawingml/2006/main">
                    <a:graphicData uri="http://schemas.openxmlformats.org/drawingml/2006/picture">
                      <pic:pic xmlns:pic="http://schemas.openxmlformats.org/drawingml/2006/picture">
                        <pic:nvPicPr>
                          <pic:cNvPr id="38" name="image2"/>
                          <pic:cNvPicPr/>
                        </pic:nvPicPr>
                        <pic:blipFill>
                          <a:blip r:embed="rId64"/>
                          <a:stretch>
                            <a:fillRect/>
                          </a:stretch>
                        </pic:blipFill>
                        <pic:spPr>
                          <a:xfrm>
                            <a:off x="0" y="0"/>
                            <a:ext cx="485775" cy="384810"/>
                          </a:xfrm>
                          <a:prstGeom prst="rect">
                            <a:avLst/>
                          </a:prstGeom>
                          <a:noFill/>
                          <a:ln>
                            <a:noFill/>
                          </a:ln>
                        </pic:spPr>
                      </pic:pic>
                    </a:graphicData>
                  </a:graphic>
                </wp:anchor>
              </w:drawing>
            </w:r>
          </w:p>
        </w:tc>
        <w:tc>
          <w:tcPr>
            <w:tcW w:w="5206" w:type="dxa"/>
            <w:gridSpan w:val="3"/>
            <w:tcBorders>
              <w:top w:val="single" w:color="000000" w:sz="4" w:space="0"/>
              <w:left w:val="single" w:color="000000" w:sz="4" w:space="0"/>
              <w:bottom w:val="single" w:color="000000" w:sz="4" w:space="0"/>
              <w:right w:val="single" w:color="000000" w:sz="4" w:space="0"/>
            </w:tcBorders>
            <w:vAlign w:val="center"/>
          </w:tcPr>
          <w:p w14:paraId="16ADFF8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噪声危险，佩戴听力保护装置</w:t>
            </w:r>
          </w:p>
        </w:tc>
      </w:tr>
    </w:tbl>
    <w:p w14:paraId="44916C50">
      <w:pPr>
        <w:widowControl/>
        <w:adjustRightInd/>
        <w:spacing w:line="240" w:lineRule="auto"/>
        <w:jc w:val="left"/>
        <w:rPr>
          <w:rFonts w:hint="eastAsia"/>
          <w:b/>
          <w:bCs/>
          <w:color w:val="C00000"/>
          <w:lang w:val="en-US" w:eastAsia="zh-CN"/>
        </w:rPr>
      </w:pPr>
    </w:p>
    <w:p w14:paraId="1197639E">
      <w:pPr>
        <w:widowControl/>
        <w:adjustRightInd/>
        <w:spacing w:line="240" w:lineRule="auto"/>
        <w:jc w:val="left"/>
        <w:rPr>
          <w:rFonts w:ascii="宋体" w:hAnsi="Times New Roman"/>
          <w:kern w:val="0"/>
          <w:szCs w:val="20"/>
        </w:rPr>
      </w:pPr>
    </w:p>
    <w:p w14:paraId="77D570D2"/>
    <w:tbl>
      <w:tblPr>
        <w:tblStyle w:val="29"/>
        <w:tblW w:w="9484" w:type="dxa"/>
        <w:tblInd w:w="91" w:type="dxa"/>
        <w:tblLayout w:type="fixed"/>
        <w:tblCellMar>
          <w:top w:w="0" w:type="dxa"/>
          <w:left w:w="108" w:type="dxa"/>
          <w:bottom w:w="0" w:type="dxa"/>
          <w:right w:w="108" w:type="dxa"/>
        </w:tblCellMar>
      </w:tblPr>
      <w:tblGrid>
        <w:gridCol w:w="1394"/>
        <w:gridCol w:w="58"/>
        <w:gridCol w:w="1200"/>
        <w:gridCol w:w="435"/>
        <w:gridCol w:w="632"/>
        <w:gridCol w:w="1528"/>
        <w:gridCol w:w="932"/>
        <w:gridCol w:w="313"/>
        <w:gridCol w:w="397"/>
        <w:gridCol w:w="2200"/>
        <w:gridCol w:w="264"/>
        <w:gridCol w:w="131"/>
      </w:tblGrid>
      <w:tr w14:paraId="11E6265F">
        <w:tblPrEx>
          <w:tblCellMar>
            <w:top w:w="0" w:type="dxa"/>
            <w:left w:w="108" w:type="dxa"/>
            <w:bottom w:w="0" w:type="dxa"/>
            <w:right w:w="108" w:type="dxa"/>
          </w:tblCellMar>
        </w:tblPrEx>
        <w:trPr>
          <w:trHeight w:val="870" w:hRule="atLeast"/>
        </w:trPr>
        <w:tc>
          <w:tcPr>
            <w:tcW w:w="9484" w:type="dxa"/>
            <w:gridSpan w:val="12"/>
            <w:tcBorders>
              <w:top w:val="nil"/>
              <w:left w:val="nil"/>
              <w:bottom w:val="nil"/>
              <w:right w:val="nil"/>
            </w:tcBorders>
            <w:vAlign w:val="center"/>
          </w:tcPr>
          <w:p w14:paraId="525632FB">
            <w:pPr>
              <w:pStyle w:val="84"/>
              <w:spacing w:before="60" w:after="120"/>
            </w:pPr>
            <w:bookmarkStart w:id="215" w:name="_Toc2146"/>
            <w:bookmarkEnd w:id="215"/>
          </w:p>
          <w:p w14:paraId="4FEEA96A">
            <w:pPr>
              <w:pStyle w:val="176"/>
              <w:rPr>
                <w:rFonts w:hAnsi="宋体" w:cs="黑体"/>
                <w:b/>
                <w:bCs/>
                <w:color w:val="000000"/>
                <w:szCs w:val="26"/>
                <w:lang w:bidi="ar"/>
              </w:rPr>
            </w:pPr>
            <w:r>
              <w:t>(规范性附录)</w:t>
            </w:r>
          </w:p>
        </w:tc>
      </w:tr>
      <w:tr w14:paraId="44F8276D">
        <w:tblPrEx>
          <w:tblCellMar>
            <w:top w:w="0" w:type="dxa"/>
            <w:left w:w="108" w:type="dxa"/>
            <w:bottom w:w="0" w:type="dxa"/>
            <w:right w:w="108" w:type="dxa"/>
          </w:tblCellMar>
        </w:tblPrEx>
        <w:trPr>
          <w:trHeight w:val="360" w:hRule="atLeast"/>
        </w:trPr>
        <w:tc>
          <w:tcPr>
            <w:tcW w:w="9484" w:type="dxa"/>
            <w:gridSpan w:val="12"/>
            <w:tcBorders>
              <w:top w:val="nil"/>
              <w:left w:val="nil"/>
              <w:bottom w:val="nil"/>
              <w:right w:val="nil"/>
            </w:tcBorders>
            <w:vAlign w:val="center"/>
          </w:tcPr>
          <w:p w14:paraId="455ABC57">
            <w:pPr>
              <w:pStyle w:val="176"/>
              <w:rPr>
                <w:rFonts w:hAnsi="宋体" w:cs="黑体"/>
                <w:b/>
                <w:bCs/>
                <w:color w:val="000000"/>
                <w:szCs w:val="26"/>
                <w:lang w:bidi="ar"/>
              </w:rPr>
            </w:pPr>
            <w:r>
              <w:t>不同高度电气间隙修正</w:t>
            </w:r>
          </w:p>
        </w:tc>
      </w:tr>
      <w:tr w14:paraId="4058B515">
        <w:tblPrEx>
          <w:tblCellMar>
            <w:top w:w="0" w:type="dxa"/>
            <w:left w:w="108" w:type="dxa"/>
            <w:bottom w:w="0" w:type="dxa"/>
            <w:right w:w="108" w:type="dxa"/>
          </w:tblCellMar>
        </w:tblPrEx>
        <w:trPr>
          <w:trHeight w:val="360" w:hRule="atLeast"/>
        </w:trPr>
        <w:tc>
          <w:tcPr>
            <w:tcW w:w="9484" w:type="dxa"/>
            <w:gridSpan w:val="12"/>
            <w:tcBorders>
              <w:top w:val="nil"/>
              <w:left w:val="nil"/>
              <w:bottom w:val="nil"/>
              <w:right w:val="nil"/>
            </w:tcBorders>
            <w:vAlign w:val="center"/>
          </w:tcPr>
          <w:p w14:paraId="7F0D67EC">
            <w:pPr>
              <w:pStyle w:val="176"/>
              <w:jc w:val="left"/>
            </w:pPr>
            <w:r>
              <w:rPr>
                <w:rFonts w:hint="eastAsia"/>
                <w:lang w:val="en-US" w:eastAsia="zh-CN"/>
              </w:rPr>
              <w:t>C</w:t>
            </w:r>
            <w:r>
              <w:t>.1电气间隙修正因子</w:t>
            </w:r>
          </w:p>
        </w:tc>
      </w:tr>
      <w:tr w14:paraId="5C15A407">
        <w:tblPrEx>
          <w:tblCellMar>
            <w:top w:w="0" w:type="dxa"/>
            <w:left w:w="108" w:type="dxa"/>
            <w:bottom w:w="0" w:type="dxa"/>
            <w:right w:w="108" w:type="dxa"/>
          </w:tblCellMar>
        </w:tblPrEx>
        <w:trPr>
          <w:trHeight w:val="360" w:hRule="atLeast"/>
        </w:trPr>
        <w:tc>
          <w:tcPr>
            <w:tcW w:w="9484" w:type="dxa"/>
            <w:gridSpan w:val="12"/>
            <w:tcBorders>
              <w:top w:val="nil"/>
              <w:left w:val="nil"/>
              <w:bottom w:val="nil"/>
              <w:right w:val="nil"/>
            </w:tcBorders>
            <w:vAlign w:val="center"/>
          </w:tcPr>
          <w:p w14:paraId="2627B348">
            <w:pPr>
              <w:pStyle w:val="64"/>
              <w:ind w:firstLine="0" w:firstLineChars="0"/>
            </w:pPr>
            <w:r>
              <w:rPr>
                <w:highlight w:val="none"/>
              </w:rPr>
              <w:t>2000m</w:t>
            </w:r>
            <w:r>
              <w:t>以上海拔高度的电气间隙修正因子见表</w:t>
            </w:r>
            <w:r>
              <w:rPr>
                <w:rFonts w:hint="eastAsia"/>
                <w:lang w:val="en-US" w:eastAsia="zh-CN"/>
              </w:rPr>
              <w:t>C</w:t>
            </w:r>
            <w:r>
              <w:t>.1。</w:t>
            </w:r>
          </w:p>
        </w:tc>
      </w:tr>
      <w:tr w14:paraId="21C29A42">
        <w:tblPrEx>
          <w:tblCellMar>
            <w:top w:w="0" w:type="dxa"/>
            <w:left w:w="108" w:type="dxa"/>
            <w:bottom w:w="0" w:type="dxa"/>
            <w:right w:w="108" w:type="dxa"/>
          </w:tblCellMar>
        </w:tblPrEx>
        <w:trPr>
          <w:trHeight w:val="360" w:hRule="atLeast"/>
        </w:trPr>
        <w:tc>
          <w:tcPr>
            <w:tcW w:w="9484" w:type="dxa"/>
            <w:gridSpan w:val="12"/>
            <w:tcBorders>
              <w:top w:val="nil"/>
              <w:left w:val="nil"/>
              <w:bottom w:val="nil"/>
              <w:right w:val="nil"/>
            </w:tcBorders>
            <w:vAlign w:val="center"/>
          </w:tcPr>
          <w:p w14:paraId="45427656">
            <w:pPr>
              <w:pStyle w:val="85"/>
              <w:numPr>
                <w:ilvl w:val="1"/>
                <w:numId w:val="0"/>
              </w:numPr>
              <w:spacing w:before="120" w:after="120"/>
              <w:ind w:left="420"/>
            </w:pPr>
            <w:r>
              <w:rPr>
                <w:rFonts w:hint="eastAsia"/>
              </w:rPr>
              <w:t>表</w:t>
            </w:r>
            <w:r>
              <w:rPr>
                <w:rFonts w:hint="eastAsia"/>
                <w:lang w:val="en-US" w:eastAsia="zh-CN"/>
              </w:rPr>
              <w:t>C</w:t>
            </w:r>
            <w:r>
              <w:rPr>
                <w:rFonts w:hint="eastAsia"/>
              </w:rPr>
              <w:t>.1  海拔高度在2000m～20000m之间的电气间隙修正因子</w:t>
            </w:r>
          </w:p>
        </w:tc>
      </w:tr>
      <w:tr w14:paraId="18D11CC9">
        <w:tblPrEx>
          <w:tblCellMar>
            <w:top w:w="0" w:type="dxa"/>
            <w:left w:w="108" w:type="dxa"/>
            <w:bottom w:w="0" w:type="dxa"/>
            <w:right w:w="108" w:type="dxa"/>
          </w:tblCellMar>
        </w:tblPrEx>
        <w:trPr>
          <w:trHeight w:val="71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41A4A7B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海拔高度m</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64C3449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标准大气压强kPa</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322A38C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电气间隙的修正因子</w:t>
            </w:r>
          </w:p>
        </w:tc>
      </w:tr>
      <w:tr w14:paraId="459724DB">
        <w:tblPrEx>
          <w:tblCellMar>
            <w:top w:w="0" w:type="dxa"/>
            <w:left w:w="108" w:type="dxa"/>
            <w:bottom w:w="0" w:type="dxa"/>
            <w:right w:w="108" w:type="dxa"/>
          </w:tblCellMar>
        </w:tblPrEx>
        <w:trPr>
          <w:trHeight w:val="50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294A137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19D9FB9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80.0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5A95F2F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1.00 </w:t>
            </w:r>
          </w:p>
        </w:tc>
      </w:tr>
      <w:tr w14:paraId="4230614B">
        <w:tblPrEx>
          <w:tblCellMar>
            <w:top w:w="0" w:type="dxa"/>
            <w:left w:w="108" w:type="dxa"/>
            <w:bottom w:w="0" w:type="dxa"/>
            <w:right w:w="108" w:type="dxa"/>
          </w:tblCellMar>
        </w:tblPrEx>
        <w:trPr>
          <w:trHeight w:val="47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526DBCB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3000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56ED026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70.0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5D813DE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1.14 </w:t>
            </w:r>
          </w:p>
        </w:tc>
      </w:tr>
      <w:tr w14:paraId="75CD098A">
        <w:tblPrEx>
          <w:tblCellMar>
            <w:top w:w="0" w:type="dxa"/>
            <w:left w:w="108" w:type="dxa"/>
            <w:bottom w:w="0" w:type="dxa"/>
            <w:right w:w="108" w:type="dxa"/>
          </w:tblCellMar>
        </w:tblPrEx>
        <w:trPr>
          <w:trHeight w:val="49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551151B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1477A5C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62.0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4D2093A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1.29 </w:t>
            </w:r>
          </w:p>
        </w:tc>
      </w:tr>
      <w:tr w14:paraId="4A9FA990">
        <w:tblPrEx>
          <w:tblCellMar>
            <w:top w:w="0" w:type="dxa"/>
            <w:left w:w="108" w:type="dxa"/>
            <w:bottom w:w="0" w:type="dxa"/>
            <w:right w:w="108" w:type="dxa"/>
          </w:tblCellMar>
        </w:tblPrEx>
        <w:trPr>
          <w:trHeight w:val="47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55F3E2D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5000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0852987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54.0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63AEF95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1.48 </w:t>
            </w:r>
          </w:p>
        </w:tc>
      </w:tr>
      <w:tr w14:paraId="19A6D289">
        <w:tblPrEx>
          <w:tblCellMar>
            <w:top w:w="0" w:type="dxa"/>
            <w:left w:w="108" w:type="dxa"/>
            <w:bottom w:w="0" w:type="dxa"/>
            <w:right w:w="108" w:type="dxa"/>
          </w:tblCellMar>
        </w:tblPrEx>
        <w:trPr>
          <w:trHeight w:val="50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6A38CCE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6000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201ABB9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47.0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3C9ACC9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1.70 </w:t>
            </w:r>
          </w:p>
        </w:tc>
      </w:tr>
      <w:tr w14:paraId="162D77FE">
        <w:tblPrEx>
          <w:tblCellMar>
            <w:top w:w="0" w:type="dxa"/>
            <w:left w:w="108" w:type="dxa"/>
            <w:bottom w:w="0" w:type="dxa"/>
            <w:right w:w="108" w:type="dxa"/>
          </w:tblCellMar>
        </w:tblPrEx>
        <w:trPr>
          <w:trHeight w:val="47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2FE78EEA">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7000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616262E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41.0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16780A3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1.95 </w:t>
            </w:r>
          </w:p>
        </w:tc>
      </w:tr>
      <w:tr w14:paraId="4372AFA7">
        <w:tblPrEx>
          <w:tblCellMar>
            <w:top w:w="0" w:type="dxa"/>
            <w:left w:w="108" w:type="dxa"/>
            <w:bottom w:w="0" w:type="dxa"/>
            <w:right w:w="108" w:type="dxa"/>
          </w:tblCellMar>
        </w:tblPrEx>
        <w:trPr>
          <w:trHeight w:val="49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6960F6B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8000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47E64B4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35.5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68E20F52">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2.25 </w:t>
            </w:r>
          </w:p>
        </w:tc>
      </w:tr>
      <w:tr w14:paraId="2DF50C63">
        <w:tblPrEx>
          <w:tblCellMar>
            <w:top w:w="0" w:type="dxa"/>
            <w:left w:w="108" w:type="dxa"/>
            <w:bottom w:w="0" w:type="dxa"/>
            <w:right w:w="108" w:type="dxa"/>
          </w:tblCellMar>
        </w:tblPrEx>
        <w:trPr>
          <w:trHeight w:val="47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21C984F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9000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4AFED5C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30.5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2D5B987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2.62 </w:t>
            </w:r>
          </w:p>
        </w:tc>
      </w:tr>
      <w:tr w14:paraId="2E60284E">
        <w:tblPrEx>
          <w:tblCellMar>
            <w:top w:w="0" w:type="dxa"/>
            <w:left w:w="108" w:type="dxa"/>
            <w:bottom w:w="0" w:type="dxa"/>
            <w:right w:w="108" w:type="dxa"/>
          </w:tblCellMar>
        </w:tblPrEx>
        <w:trPr>
          <w:trHeight w:val="48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2CE8EECF">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10000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7F1E418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26.5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46C5D3E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3.02 </w:t>
            </w:r>
          </w:p>
        </w:tc>
      </w:tr>
      <w:tr w14:paraId="6D41FCCD">
        <w:tblPrEx>
          <w:tblCellMar>
            <w:top w:w="0" w:type="dxa"/>
            <w:left w:w="108" w:type="dxa"/>
            <w:bottom w:w="0" w:type="dxa"/>
            <w:right w:w="108" w:type="dxa"/>
          </w:tblCellMar>
        </w:tblPrEx>
        <w:trPr>
          <w:trHeight w:val="49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39F6FFD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15000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53C0D9B4">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12.0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286CB3FF">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6.67 </w:t>
            </w:r>
          </w:p>
        </w:tc>
      </w:tr>
      <w:tr w14:paraId="2BDCE3DF">
        <w:tblPrEx>
          <w:tblCellMar>
            <w:top w:w="0" w:type="dxa"/>
            <w:left w:w="108" w:type="dxa"/>
            <w:bottom w:w="0" w:type="dxa"/>
            <w:right w:w="108" w:type="dxa"/>
          </w:tblCellMar>
        </w:tblPrEx>
        <w:trPr>
          <w:trHeight w:val="475"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178C230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20000 </w:t>
            </w:r>
          </w:p>
        </w:tc>
        <w:tc>
          <w:tcPr>
            <w:tcW w:w="2595" w:type="dxa"/>
            <w:gridSpan w:val="3"/>
            <w:tcBorders>
              <w:top w:val="single" w:color="000000" w:sz="4" w:space="0"/>
              <w:left w:val="single" w:color="000000" w:sz="4" w:space="0"/>
              <w:bottom w:val="single" w:color="000000" w:sz="4" w:space="0"/>
              <w:right w:val="single" w:color="000000" w:sz="4" w:space="0"/>
            </w:tcBorders>
            <w:vAlign w:val="center"/>
          </w:tcPr>
          <w:p w14:paraId="7628CCB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5.5 </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1643388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14.50 </w:t>
            </w:r>
          </w:p>
        </w:tc>
      </w:tr>
      <w:tr w14:paraId="35AFBEB1">
        <w:tblPrEx>
          <w:tblCellMar>
            <w:top w:w="0" w:type="dxa"/>
            <w:left w:w="108" w:type="dxa"/>
            <w:bottom w:w="0" w:type="dxa"/>
            <w:right w:w="108" w:type="dxa"/>
          </w:tblCellMar>
        </w:tblPrEx>
        <w:trPr>
          <w:trHeight w:val="390" w:hRule="atLeast"/>
        </w:trPr>
        <w:tc>
          <w:tcPr>
            <w:tcW w:w="9484" w:type="dxa"/>
            <w:gridSpan w:val="12"/>
            <w:tcBorders>
              <w:top w:val="nil"/>
              <w:left w:val="nil"/>
              <w:bottom w:val="nil"/>
              <w:right w:val="nil"/>
            </w:tcBorders>
            <w:vAlign w:val="center"/>
          </w:tcPr>
          <w:p w14:paraId="541E9E67">
            <w:pPr>
              <w:pStyle w:val="176"/>
              <w:jc w:val="left"/>
            </w:pPr>
            <w:r>
              <w:rPr>
                <w:rFonts w:hint="eastAsia"/>
                <w:lang w:val="en-US" w:eastAsia="zh-CN"/>
              </w:rPr>
              <w:t>C</w:t>
            </w:r>
            <w:r>
              <w:t>.2电气间隙试验电压</w:t>
            </w:r>
          </w:p>
        </w:tc>
      </w:tr>
      <w:tr w14:paraId="7A10172B">
        <w:tblPrEx>
          <w:tblCellMar>
            <w:top w:w="0" w:type="dxa"/>
            <w:left w:w="108" w:type="dxa"/>
            <w:bottom w:w="0" w:type="dxa"/>
            <w:right w:w="108" w:type="dxa"/>
          </w:tblCellMar>
        </w:tblPrEx>
        <w:trPr>
          <w:trHeight w:val="390" w:hRule="atLeast"/>
        </w:trPr>
        <w:tc>
          <w:tcPr>
            <w:tcW w:w="9484" w:type="dxa"/>
            <w:gridSpan w:val="12"/>
            <w:tcBorders>
              <w:top w:val="nil"/>
              <w:left w:val="nil"/>
              <w:bottom w:val="nil"/>
              <w:right w:val="nil"/>
            </w:tcBorders>
            <w:vAlign w:val="center"/>
          </w:tcPr>
          <w:p w14:paraId="32336E02">
            <w:pPr>
              <w:pStyle w:val="64"/>
              <w:ind w:firstLine="0" w:firstLineChars="0"/>
            </w:pPr>
            <w:r>
              <w:t>不同海拔高度下电气间隙的试验电压见表B.2。</w:t>
            </w:r>
          </w:p>
        </w:tc>
      </w:tr>
      <w:tr w14:paraId="32F33FBF">
        <w:tblPrEx>
          <w:tblCellMar>
            <w:top w:w="0" w:type="dxa"/>
            <w:left w:w="108" w:type="dxa"/>
            <w:bottom w:w="0" w:type="dxa"/>
            <w:right w:w="108" w:type="dxa"/>
          </w:tblCellMar>
        </w:tblPrEx>
        <w:trPr>
          <w:trHeight w:val="360" w:hRule="atLeast"/>
        </w:trPr>
        <w:tc>
          <w:tcPr>
            <w:tcW w:w="9484" w:type="dxa"/>
            <w:gridSpan w:val="12"/>
            <w:tcBorders>
              <w:top w:val="nil"/>
              <w:left w:val="nil"/>
              <w:bottom w:val="nil"/>
              <w:right w:val="nil"/>
            </w:tcBorders>
            <w:vAlign w:val="center"/>
          </w:tcPr>
          <w:p w14:paraId="5655C1A8">
            <w:pPr>
              <w:pStyle w:val="85"/>
              <w:numPr>
                <w:ilvl w:val="1"/>
                <w:numId w:val="0"/>
              </w:numPr>
              <w:spacing w:before="120" w:after="120"/>
              <w:ind w:left="420"/>
            </w:pPr>
            <w:r>
              <w:t>表</w:t>
            </w:r>
            <w:r>
              <w:rPr>
                <w:rFonts w:hint="eastAsia"/>
                <w:lang w:val="en-US" w:eastAsia="zh-CN"/>
              </w:rPr>
              <w:t>C</w:t>
            </w:r>
            <w:r>
              <w:t>.2  检验不同海拔高度下电气间隙的试验电压</w:t>
            </w:r>
          </w:p>
        </w:tc>
      </w:tr>
      <w:tr w14:paraId="4BF727A6">
        <w:tblPrEx>
          <w:tblCellMar>
            <w:top w:w="0" w:type="dxa"/>
            <w:left w:w="108" w:type="dxa"/>
            <w:bottom w:w="0" w:type="dxa"/>
            <w:right w:w="108" w:type="dxa"/>
          </w:tblCellMar>
        </w:tblPrEx>
        <w:trPr>
          <w:gridAfter w:val="1"/>
          <w:wAfter w:w="131" w:type="dxa"/>
          <w:trHeight w:val="510" w:hRule="atLeast"/>
        </w:trPr>
        <w:tc>
          <w:tcPr>
            <w:tcW w:w="1452" w:type="dxa"/>
            <w:gridSpan w:val="2"/>
            <w:tcBorders>
              <w:top w:val="single" w:color="000000" w:sz="4" w:space="0"/>
              <w:left w:val="single" w:color="000000" w:sz="4" w:space="0"/>
              <w:bottom w:val="single" w:color="000000" w:sz="4" w:space="0"/>
              <w:right w:val="single" w:color="000000" w:sz="4" w:space="0"/>
            </w:tcBorders>
            <w:vAlign w:val="center"/>
          </w:tcPr>
          <w:p w14:paraId="38E1439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脉冲电压</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kV</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34EA394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海平面的冲击试验电压kV</w:t>
            </w:r>
          </w:p>
        </w:tc>
        <w:tc>
          <w:tcPr>
            <w:tcW w:w="3405" w:type="dxa"/>
            <w:gridSpan w:val="4"/>
            <w:tcBorders>
              <w:top w:val="single" w:color="000000" w:sz="4" w:space="0"/>
              <w:left w:val="single" w:color="000000" w:sz="4" w:space="0"/>
              <w:bottom w:val="single" w:color="000000" w:sz="4" w:space="0"/>
              <w:right w:val="single" w:color="000000" w:sz="4" w:space="0"/>
            </w:tcBorders>
            <w:vAlign w:val="center"/>
          </w:tcPr>
          <w:p w14:paraId="18A4B26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海拔高度200m的冲击试验电压kV</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015C460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海拔高度500m的</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冲击试验电压kV</w:t>
            </w:r>
          </w:p>
        </w:tc>
      </w:tr>
      <w:tr w14:paraId="320AF39D">
        <w:tblPrEx>
          <w:tblCellMar>
            <w:top w:w="0" w:type="dxa"/>
            <w:left w:w="108" w:type="dxa"/>
            <w:bottom w:w="0" w:type="dxa"/>
            <w:right w:w="108" w:type="dxa"/>
          </w:tblCellMar>
        </w:tblPrEx>
        <w:trPr>
          <w:gridAfter w:val="1"/>
          <w:wAfter w:w="131" w:type="dxa"/>
          <w:trHeight w:val="340" w:hRule="atLeast"/>
        </w:trPr>
        <w:tc>
          <w:tcPr>
            <w:tcW w:w="1452" w:type="dxa"/>
            <w:gridSpan w:val="2"/>
            <w:tcBorders>
              <w:top w:val="single" w:color="000000" w:sz="4" w:space="0"/>
              <w:left w:val="single" w:color="000000" w:sz="4" w:space="0"/>
              <w:bottom w:val="single" w:color="000000" w:sz="4" w:space="0"/>
              <w:right w:val="single" w:color="000000" w:sz="4" w:space="0"/>
            </w:tcBorders>
            <w:vAlign w:val="center"/>
          </w:tcPr>
          <w:p w14:paraId="63B8F27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0.33 </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493B428F">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0.36 </w:t>
            </w:r>
          </w:p>
        </w:tc>
        <w:tc>
          <w:tcPr>
            <w:tcW w:w="3405" w:type="dxa"/>
            <w:gridSpan w:val="4"/>
            <w:tcBorders>
              <w:top w:val="single" w:color="000000" w:sz="4" w:space="0"/>
              <w:left w:val="single" w:color="000000" w:sz="4" w:space="0"/>
              <w:bottom w:val="single" w:color="000000" w:sz="4" w:space="0"/>
              <w:right w:val="single" w:color="000000" w:sz="4" w:space="0"/>
            </w:tcBorders>
            <w:vAlign w:val="center"/>
          </w:tcPr>
          <w:p w14:paraId="017534A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0.36 </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0872AAB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0.35 </w:t>
            </w:r>
          </w:p>
        </w:tc>
      </w:tr>
      <w:tr w14:paraId="5972A1B4">
        <w:tblPrEx>
          <w:tblCellMar>
            <w:top w:w="0" w:type="dxa"/>
            <w:left w:w="108" w:type="dxa"/>
            <w:bottom w:w="0" w:type="dxa"/>
            <w:right w:w="108" w:type="dxa"/>
          </w:tblCellMar>
        </w:tblPrEx>
        <w:trPr>
          <w:gridAfter w:val="1"/>
          <w:wAfter w:w="131" w:type="dxa"/>
          <w:trHeight w:val="340" w:hRule="atLeast"/>
        </w:trPr>
        <w:tc>
          <w:tcPr>
            <w:tcW w:w="1452" w:type="dxa"/>
            <w:gridSpan w:val="2"/>
            <w:tcBorders>
              <w:top w:val="single" w:color="000000" w:sz="4" w:space="0"/>
              <w:left w:val="single" w:color="000000" w:sz="4" w:space="0"/>
              <w:bottom w:val="single" w:color="000000" w:sz="4" w:space="0"/>
              <w:right w:val="single" w:color="000000" w:sz="4" w:space="0"/>
            </w:tcBorders>
            <w:vAlign w:val="center"/>
          </w:tcPr>
          <w:p w14:paraId="69308C9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0.50 </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068D4D3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0.54 </w:t>
            </w:r>
          </w:p>
        </w:tc>
        <w:tc>
          <w:tcPr>
            <w:tcW w:w="3405" w:type="dxa"/>
            <w:gridSpan w:val="4"/>
            <w:tcBorders>
              <w:top w:val="single" w:color="000000" w:sz="4" w:space="0"/>
              <w:left w:val="single" w:color="000000" w:sz="4" w:space="0"/>
              <w:bottom w:val="single" w:color="000000" w:sz="4" w:space="0"/>
              <w:right w:val="single" w:color="000000" w:sz="4" w:space="0"/>
            </w:tcBorders>
            <w:vAlign w:val="center"/>
          </w:tcPr>
          <w:p w14:paraId="75D6F69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0.54 </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52BDE12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0.53 </w:t>
            </w:r>
          </w:p>
        </w:tc>
      </w:tr>
      <w:tr w14:paraId="01971636">
        <w:tblPrEx>
          <w:tblCellMar>
            <w:top w:w="0" w:type="dxa"/>
            <w:left w:w="108" w:type="dxa"/>
            <w:bottom w:w="0" w:type="dxa"/>
            <w:right w:w="108" w:type="dxa"/>
          </w:tblCellMar>
        </w:tblPrEx>
        <w:trPr>
          <w:gridAfter w:val="1"/>
          <w:wAfter w:w="131" w:type="dxa"/>
          <w:trHeight w:val="340" w:hRule="atLeast"/>
        </w:trPr>
        <w:tc>
          <w:tcPr>
            <w:tcW w:w="1452" w:type="dxa"/>
            <w:gridSpan w:val="2"/>
            <w:tcBorders>
              <w:top w:val="single" w:color="000000" w:sz="4" w:space="0"/>
              <w:left w:val="single" w:color="000000" w:sz="4" w:space="0"/>
              <w:bottom w:val="single" w:color="000000" w:sz="4" w:space="0"/>
              <w:right w:val="single" w:color="000000" w:sz="4" w:space="0"/>
            </w:tcBorders>
            <w:vAlign w:val="center"/>
          </w:tcPr>
          <w:p w14:paraId="1DB253C1">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0.80 </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5D43D30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0.93 </w:t>
            </w:r>
          </w:p>
        </w:tc>
        <w:tc>
          <w:tcPr>
            <w:tcW w:w="3405" w:type="dxa"/>
            <w:gridSpan w:val="4"/>
            <w:tcBorders>
              <w:top w:val="single" w:color="000000" w:sz="4" w:space="0"/>
              <w:left w:val="single" w:color="000000" w:sz="4" w:space="0"/>
              <w:bottom w:val="single" w:color="000000" w:sz="4" w:space="0"/>
              <w:right w:val="single" w:color="000000" w:sz="4" w:space="0"/>
            </w:tcBorders>
            <w:vAlign w:val="center"/>
          </w:tcPr>
          <w:p w14:paraId="0E038B1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0.92 </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38FA9E4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0.90 </w:t>
            </w:r>
          </w:p>
        </w:tc>
      </w:tr>
      <w:tr w14:paraId="043001FC">
        <w:tblPrEx>
          <w:tblCellMar>
            <w:top w:w="0" w:type="dxa"/>
            <w:left w:w="108" w:type="dxa"/>
            <w:bottom w:w="0" w:type="dxa"/>
            <w:right w:w="108" w:type="dxa"/>
          </w:tblCellMar>
        </w:tblPrEx>
        <w:trPr>
          <w:gridAfter w:val="1"/>
          <w:wAfter w:w="131" w:type="dxa"/>
          <w:trHeight w:val="340" w:hRule="atLeast"/>
        </w:trPr>
        <w:tc>
          <w:tcPr>
            <w:tcW w:w="1452" w:type="dxa"/>
            <w:gridSpan w:val="2"/>
            <w:tcBorders>
              <w:top w:val="single" w:color="000000" w:sz="4" w:space="0"/>
              <w:left w:val="single" w:color="000000" w:sz="4" w:space="0"/>
              <w:bottom w:val="single" w:color="000000" w:sz="4" w:space="0"/>
              <w:right w:val="single" w:color="000000" w:sz="4" w:space="0"/>
            </w:tcBorders>
            <w:vAlign w:val="center"/>
          </w:tcPr>
          <w:p w14:paraId="1C3BD83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1.50 </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3EE3154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1.8 </w:t>
            </w:r>
          </w:p>
        </w:tc>
        <w:tc>
          <w:tcPr>
            <w:tcW w:w="3405" w:type="dxa"/>
            <w:gridSpan w:val="4"/>
            <w:tcBorders>
              <w:top w:val="single" w:color="000000" w:sz="4" w:space="0"/>
              <w:left w:val="single" w:color="000000" w:sz="4" w:space="0"/>
              <w:bottom w:val="single" w:color="000000" w:sz="4" w:space="0"/>
              <w:right w:val="single" w:color="000000" w:sz="4" w:space="0"/>
            </w:tcBorders>
            <w:vAlign w:val="center"/>
          </w:tcPr>
          <w:p w14:paraId="28B3C223">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1.7 </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132B6E3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1.7 </w:t>
            </w:r>
          </w:p>
        </w:tc>
      </w:tr>
      <w:tr w14:paraId="0FA36CF2">
        <w:tblPrEx>
          <w:tblCellMar>
            <w:top w:w="0" w:type="dxa"/>
            <w:left w:w="108" w:type="dxa"/>
            <w:bottom w:w="0" w:type="dxa"/>
            <w:right w:w="108" w:type="dxa"/>
          </w:tblCellMar>
        </w:tblPrEx>
        <w:trPr>
          <w:gridAfter w:val="1"/>
          <w:wAfter w:w="131" w:type="dxa"/>
          <w:trHeight w:val="340" w:hRule="atLeast"/>
        </w:trPr>
        <w:tc>
          <w:tcPr>
            <w:tcW w:w="1452" w:type="dxa"/>
            <w:gridSpan w:val="2"/>
            <w:tcBorders>
              <w:top w:val="single" w:color="000000" w:sz="4" w:space="0"/>
              <w:left w:val="single" w:color="000000" w:sz="4" w:space="0"/>
              <w:bottom w:val="single" w:color="000000" w:sz="4" w:space="0"/>
              <w:right w:val="single" w:color="000000" w:sz="4" w:space="0"/>
            </w:tcBorders>
            <w:vAlign w:val="center"/>
          </w:tcPr>
          <w:p w14:paraId="40C8D76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2.50 </w:t>
            </w:r>
          </w:p>
        </w:tc>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3FC160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2.9 </w:t>
            </w:r>
          </w:p>
        </w:tc>
        <w:tc>
          <w:tcPr>
            <w:tcW w:w="3405" w:type="dxa"/>
            <w:gridSpan w:val="4"/>
            <w:tcBorders>
              <w:top w:val="single" w:color="000000" w:sz="4" w:space="0"/>
              <w:left w:val="single" w:color="000000" w:sz="4" w:space="0"/>
              <w:bottom w:val="single" w:color="000000" w:sz="4" w:space="0"/>
              <w:right w:val="single" w:color="000000" w:sz="4" w:space="0"/>
            </w:tcBorders>
            <w:vAlign w:val="center"/>
          </w:tcPr>
          <w:p w14:paraId="28E610A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2.9 </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14:paraId="1D1A28F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2.8 </w:t>
            </w:r>
          </w:p>
        </w:tc>
      </w:tr>
      <w:tr w14:paraId="44110430">
        <w:tblPrEx>
          <w:tblCellMar>
            <w:top w:w="0" w:type="dxa"/>
            <w:left w:w="108" w:type="dxa"/>
            <w:bottom w:w="0" w:type="dxa"/>
            <w:right w:w="108" w:type="dxa"/>
          </w:tblCellMar>
        </w:tblPrEx>
        <w:trPr>
          <w:gridAfter w:val="2"/>
          <w:wAfter w:w="395" w:type="dxa"/>
          <w:trHeight w:val="390" w:hRule="atLeast"/>
        </w:trPr>
        <w:tc>
          <w:tcPr>
            <w:tcW w:w="9089" w:type="dxa"/>
            <w:gridSpan w:val="10"/>
            <w:tcBorders>
              <w:top w:val="nil"/>
              <w:left w:val="nil"/>
              <w:bottom w:val="nil"/>
              <w:right w:val="nil"/>
            </w:tcBorders>
            <w:vAlign w:val="center"/>
          </w:tcPr>
          <w:p w14:paraId="0B973D22">
            <w:pPr>
              <w:pStyle w:val="191"/>
            </w:pPr>
            <w:r>
              <w:rPr>
                <w:lang w:bidi="ar"/>
              </w:rPr>
              <w:t xml:space="preserve">表 </w:t>
            </w:r>
            <w:r>
              <w:rPr>
                <w:rFonts w:hint="eastAsia"/>
                <w:lang w:val="en-US" w:eastAsia="zh-CN" w:bidi="ar"/>
              </w:rPr>
              <w:t>C</w:t>
            </w:r>
            <w:r>
              <w:rPr>
                <w:lang w:bidi="ar"/>
              </w:rPr>
              <w:t>.2 ( 续 )</w:t>
            </w:r>
          </w:p>
        </w:tc>
      </w:tr>
      <w:tr w14:paraId="0AD5E118">
        <w:tblPrEx>
          <w:tblCellMar>
            <w:top w:w="0" w:type="dxa"/>
            <w:left w:w="108" w:type="dxa"/>
            <w:bottom w:w="0" w:type="dxa"/>
            <w:right w:w="108" w:type="dxa"/>
          </w:tblCellMar>
        </w:tblPrEx>
        <w:trPr>
          <w:gridAfter w:val="2"/>
          <w:wAfter w:w="395" w:type="dxa"/>
          <w:trHeight w:val="1315" w:hRule="atLeast"/>
        </w:trPr>
        <w:tc>
          <w:tcPr>
            <w:tcW w:w="1394" w:type="dxa"/>
            <w:tcBorders>
              <w:top w:val="single" w:color="000000" w:sz="4" w:space="0"/>
              <w:left w:val="single" w:color="000000" w:sz="4" w:space="0"/>
              <w:bottom w:val="single" w:color="000000" w:sz="4" w:space="0"/>
              <w:right w:val="single" w:color="000000" w:sz="4" w:space="0"/>
            </w:tcBorders>
            <w:vAlign w:val="center"/>
          </w:tcPr>
          <w:p w14:paraId="5BDA802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脉冲电压</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kV</w:t>
            </w:r>
          </w:p>
        </w:tc>
        <w:tc>
          <w:tcPr>
            <w:tcW w:w="2325" w:type="dxa"/>
            <w:gridSpan w:val="4"/>
            <w:tcBorders>
              <w:top w:val="single" w:color="000000" w:sz="4" w:space="0"/>
              <w:left w:val="single" w:color="000000" w:sz="4" w:space="0"/>
              <w:bottom w:val="single" w:color="000000" w:sz="4" w:space="0"/>
              <w:right w:val="single" w:color="000000" w:sz="4" w:space="0"/>
            </w:tcBorders>
            <w:vAlign w:val="center"/>
          </w:tcPr>
          <w:p w14:paraId="687416E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海平面的冲击试验电压</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kV</w:t>
            </w:r>
          </w:p>
        </w:tc>
        <w:tc>
          <w:tcPr>
            <w:tcW w:w="2460" w:type="dxa"/>
            <w:gridSpan w:val="2"/>
            <w:tcBorders>
              <w:top w:val="single" w:color="000000" w:sz="4" w:space="0"/>
              <w:left w:val="single" w:color="000000" w:sz="4" w:space="0"/>
              <w:bottom w:val="single" w:color="000000" w:sz="4" w:space="0"/>
              <w:right w:val="single" w:color="000000" w:sz="4" w:space="0"/>
            </w:tcBorders>
            <w:vAlign w:val="center"/>
          </w:tcPr>
          <w:p w14:paraId="489FDD4F">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海拔高度200 m的</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冲击试验电压</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kV</w:t>
            </w:r>
          </w:p>
        </w:tc>
        <w:tc>
          <w:tcPr>
            <w:tcW w:w="2910" w:type="dxa"/>
            <w:gridSpan w:val="3"/>
            <w:tcBorders>
              <w:top w:val="single" w:color="000000" w:sz="4" w:space="0"/>
              <w:left w:val="single" w:color="000000" w:sz="4" w:space="0"/>
              <w:bottom w:val="single" w:color="000000" w:sz="4" w:space="0"/>
              <w:right w:val="single" w:color="000000" w:sz="4" w:space="0"/>
            </w:tcBorders>
            <w:vAlign w:val="center"/>
          </w:tcPr>
          <w:p w14:paraId="37F9F26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海拔高度500 m的</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冲击试验电压</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kV</w:t>
            </w:r>
          </w:p>
        </w:tc>
      </w:tr>
      <w:tr w14:paraId="2DFB380D">
        <w:tblPrEx>
          <w:tblCellMar>
            <w:top w:w="0" w:type="dxa"/>
            <w:left w:w="108" w:type="dxa"/>
            <w:bottom w:w="0" w:type="dxa"/>
            <w:right w:w="108" w:type="dxa"/>
          </w:tblCellMar>
        </w:tblPrEx>
        <w:trPr>
          <w:gridAfter w:val="2"/>
          <w:wAfter w:w="395" w:type="dxa"/>
          <w:trHeight w:val="500" w:hRule="atLeast"/>
        </w:trPr>
        <w:tc>
          <w:tcPr>
            <w:tcW w:w="1394" w:type="dxa"/>
            <w:tcBorders>
              <w:top w:val="single" w:color="000000" w:sz="4" w:space="0"/>
              <w:left w:val="single" w:color="000000" w:sz="4" w:space="0"/>
              <w:bottom w:val="single" w:color="000000" w:sz="4" w:space="0"/>
              <w:right w:val="single" w:color="000000" w:sz="4" w:space="0"/>
            </w:tcBorders>
            <w:vAlign w:val="center"/>
          </w:tcPr>
          <w:p w14:paraId="4A29109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4.00 </w:t>
            </w:r>
          </w:p>
        </w:tc>
        <w:tc>
          <w:tcPr>
            <w:tcW w:w="2325" w:type="dxa"/>
            <w:gridSpan w:val="4"/>
            <w:tcBorders>
              <w:top w:val="single" w:color="000000" w:sz="4" w:space="0"/>
              <w:left w:val="single" w:color="000000" w:sz="4" w:space="0"/>
              <w:bottom w:val="single" w:color="000000" w:sz="4" w:space="0"/>
              <w:right w:val="single" w:color="000000" w:sz="4" w:space="0"/>
            </w:tcBorders>
            <w:vAlign w:val="center"/>
          </w:tcPr>
          <w:p w14:paraId="246F280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4.9 </w:t>
            </w:r>
          </w:p>
        </w:tc>
        <w:tc>
          <w:tcPr>
            <w:tcW w:w="2460" w:type="dxa"/>
            <w:gridSpan w:val="2"/>
            <w:tcBorders>
              <w:top w:val="single" w:color="000000" w:sz="4" w:space="0"/>
              <w:left w:val="single" w:color="000000" w:sz="4" w:space="0"/>
              <w:bottom w:val="single" w:color="000000" w:sz="4" w:space="0"/>
              <w:right w:val="single" w:color="000000" w:sz="4" w:space="0"/>
            </w:tcBorders>
            <w:vAlign w:val="center"/>
          </w:tcPr>
          <w:p w14:paraId="575FA24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4.8 </w:t>
            </w:r>
          </w:p>
        </w:tc>
        <w:tc>
          <w:tcPr>
            <w:tcW w:w="2910" w:type="dxa"/>
            <w:gridSpan w:val="3"/>
            <w:tcBorders>
              <w:top w:val="single" w:color="000000" w:sz="4" w:space="0"/>
              <w:left w:val="single" w:color="000000" w:sz="4" w:space="0"/>
              <w:bottom w:val="single" w:color="000000" w:sz="4" w:space="0"/>
              <w:right w:val="single" w:color="000000" w:sz="4" w:space="0"/>
            </w:tcBorders>
            <w:vAlign w:val="center"/>
          </w:tcPr>
          <w:p w14:paraId="0AE27DA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4.7 </w:t>
            </w:r>
          </w:p>
        </w:tc>
      </w:tr>
      <w:tr w14:paraId="0C467508">
        <w:tblPrEx>
          <w:tblCellMar>
            <w:top w:w="0" w:type="dxa"/>
            <w:left w:w="108" w:type="dxa"/>
            <w:bottom w:w="0" w:type="dxa"/>
            <w:right w:w="108" w:type="dxa"/>
          </w:tblCellMar>
        </w:tblPrEx>
        <w:trPr>
          <w:gridAfter w:val="2"/>
          <w:wAfter w:w="395" w:type="dxa"/>
          <w:trHeight w:val="470" w:hRule="atLeast"/>
        </w:trPr>
        <w:tc>
          <w:tcPr>
            <w:tcW w:w="1394" w:type="dxa"/>
            <w:tcBorders>
              <w:top w:val="single" w:color="000000" w:sz="4" w:space="0"/>
              <w:left w:val="single" w:color="000000" w:sz="4" w:space="0"/>
              <w:bottom w:val="single" w:color="000000" w:sz="4" w:space="0"/>
              <w:right w:val="single" w:color="000000" w:sz="4" w:space="0"/>
            </w:tcBorders>
            <w:vAlign w:val="center"/>
          </w:tcPr>
          <w:p w14:paraId="19A2100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6.00 </w:t>
            </w:r>
          </w:p>
        </w:tc>
        <w:tc>
          <w:tcPr>
            <w:tcW w:w="2325" w:type="dxa"/>
            <w:gridSpan w:val="4"/>
            <w:tcBorders>
              <w:top w:val="single" w:color="000000" w:sz="4" w:space="0"/>
              <w:left w:val="single" w:color="000000" w:sz="4" w:space="0"/>
              <w:bottom w:val="single" w:color="000000" w:sz="4" w:space="0"/>
              <w:right w:val="single" w:color="000000" w:sz="4" w:space="0"/>
            </w:tcBorders>
            <w:vAlign w:val="center"/>
          </w:tcPr>
          <w:p w14:paraId="794DDD6B">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7.4 </w:t>
            </w:r>
          </w:p>
        </w:tc>
        <w:tc>
          <w:tcPr>
            <w:tcW w:w="2460" w:type="dxa"/>
            <w:gridSpan w:val="2"/>
            <w:tcBorders>
              <w:top w:val="single" w:color="000000" w:sz="4" w:space="0"/>
              <w:left w:val="single" w:color="000000" w:sz="4" w:space="0"/>
              <w:bottom w:val="single" w:color="000000" w:sz="4" w:space="0"/>
              <w:right w:val="single" w:color="000000" w:sz="4" w:space="0"/>
            </w:tcBorders>
            <w:vAlign w:val="center"/>
          </w:tcPr>
          <w:p w14:paraId="3B343BE5">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7.2 </w:t>
            </w:r>
          </w:p>
        </w:tc>
        <w:tc>
          <w:tcPr>
            <w:tcW w:w="2910" w:type="dxa"/>
            <w:gridSpan w:val="3"/>
            <w:tcBorders>
              <w:top w:val="single" w:color="000000" w:sz="4" w:space="0"/>
              <w:left w:val="single" w:color="000000" w:sz="4" w:space="0"/>
              <w:bottom w:val="single" w:color="000000" w:sz="4" w:space="0"/>
              <w:right w:val="single" w:color="000000" w:sz="4" w:space="0"/>
            </w:tcBorders>
            <w:vAlign w:val="center"/>
          </w:tcPr>
          <w:p w14:paraId="5DEA9AEE">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7.0 </w:t>
            </w:r>
          </w:p>
        </w:tc>
      </w:tr>
      <w:tr w14:paraId="200674C1">
        <w:tblPrEx>
          <w:tblCellMar>
            <w:top w:w="0" w:type="dxa"/>
            <w:left w:w="108" w:type="dxa"/>
            <w:bottom w:w="0" w:type="dxa"/>
            <w:right w:w="108" w:type="dxa"/>
          </w:tblCellMar>
        </w:tblPrEx>
        <w:trPr>
          <w:gridAfter w:val="2"/>
          <w:wAfter w:w="395" w:type="dxa"/>
          <w:trHeight w:val="470" w:hRule="atLeast"/>
        </w:trPr>
        <w:tc>
          <w:tcPr>
            <w:tcW w:w="1394" w:type="dxa"/>
            <w:tcBorders>
              <w:top w:val="single" w:color="000000" w:sz="4" w:space="0"/>
              <w:left w:val="single" w:color="000000" w:sz="4" w:space="0"/>
              <w:bottom w:val="single" w:color="000000" w:sz="4" w:space="0"/>
              <w:right w:val="single" w:color="000000" w:sz="4" w:space="0"/>
            </w:tcBorders>
            <w:vAlign w:val="center"/>
          </w:tcPr>
          <w:p w14:paraId="06045BD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8.00 </w:t>
            </w:r>
          </w:p>
        </w:tc>
        <w:tc>
          <w:tcPr>
            <w:tcW w:w="2325" w:type="dxa"/>
            <w:gridSpan w:val="4"/>
            <w:tcBorders>
              <w:top w:val="single" w:color="000000" w:sz="4" w:space="0"/>
              <w:left w:val="single" w:color="000000" w:sz="4" w:space="0"/>
              <w:bottom w:val="single" w:color="000000" w:sz="4" w:space="0"/>
              <w:right w:val="single" w:color="000000" w:sz="4" w:space="0"/>
            </w:tcBorders>
            <w:vAlign w:val="center"/>
          </w:tcPr>
          <w:p w14:paraId="70444030">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9.8 </w:t>
            </w:r>
          </w:p>
        </w:tc>
        <w:tc>
          <w:tcPr>
            <w:tcW w:w="2460" w:type="dxa"/>
            <w:gridSpan w:val="2"/>
            <w:tcBorders>
              <w:top w:val="single" w:color="000000" w:sz="4" w:space="0"/>
              <w:left w:val="single" w:color="000000" w:sz="4" w:space="0"/>
              <w:bottom w:val="single" w:color="000000" w:sz="4" w:space="0"/>
              <w:right w:val="single" w:color="000000" w:sz="4" w:space="0"/>
            </w:tcBorders>
            <w:vAlign w:val="center"/>
          </w:tcPr>
          <w:p w14:paraId="055F5FA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9.6 </w:t>
            </w:r>
          </w:p>
        </w:tc>
        <w:tc>
          <w:tcPr>
            <w:tcW w:w="2910" w:type="dxa"/>
            <w:gridSpan w:val="3"/>
            <w:tcBorders>
              <w:top w:val="single" w:color="000000" w:sz="4" w:space="0"/>
              <w:left w:val="single" w:color="000000" w:sz="4" w:space="0"/>
              <w:bottom w:val="single" w:color="000000" w:sz="4" w:space="0"/>
              <w:right w:val="single" w:color="000000" w:sz="4" w:space="0"/>
            </w:tcBorders>
            <w:vAlign w:val="center"/>
          </w:tcPr>
          <w:p w14:paraId="36E5915D">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9.4 </w:t>
            </w:r>
          </w:p>
        </w:tc>
      </w:tr>
      <w:tr w14:paraId="7138BE9E">
        <w:tblPrEx>
          <w:tblCellMar>
            <w:top w:w="0" w:type="dxa"/>
            <w:left w:w="108" w:type="dxa"/>
            <w:bottom w:w="0" w:type="dxa"/>
            <w:right w:w="108" w:type="dxa"/>
          </w:tblCellMar>
        </w:tblPrEx>
        <w:trPr>
          <w:gridAfter w:val="2"/>
          <w:wAfter w:w="395" w:type="dxa"/>
          <w:trHeight w:val="490" w:hRule="atLeast"/>
        </w:trPr>
        <w:tc>
          <w:tcPr>
            <w:tcW w:w="1394" w:type="dxa"/>
            <w:tcBorders>
              <w:top w:val="single" w:color="000000" w:sz="4" w:space="0"/>
              <w:left w:val="single" w:color="000000" w:sz="4" w:space="0"/>
              <w:bottom w:val="single" w:color="000000" w:sz="4" w:space="0"/>
              <w:right w:val="single" w:color="000000" w:sz="4" w:space="0"/>
            </w:tcBorders>
            <w:vAlign w:val="center"/>
          </w:tcPr>
          <w:p w14:paraId="32B9CD08">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12.00 </w:t>
            </w:r>
          </w:p>
        </w:tc>
        <w:tc>
          <w:tcPr>
            <w:tcW w:w="2325" w:type="dxa"/>
            <w:gridSpan w:val="4"/>
            <w:tcBorders>
              <w:top w:val="single" w:color="000000" w:sz="4" w:space="0"/>
              <w:left w:val="single" w:color="000000" w:sz="4" w:space="0"/>
              <w:bottom w:val="single" w:color="000000" w:sz="4" w:space="0"/>
              <w:right w:val="single" w:color="000000" w:sz="4" w:space="0"/>
            </w:tcBorders>
            <w:vAlign w:val="center"/>
          </w:tcPr>
          <w:p w14:paraId="1CFB793C">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15 </w:t>
            </w:r>
          </w:p>
        </w:tc>
        <w:tc>
          <w:tcPr>
            <w:tcW w:w="2460" w:type="dxa"/>
            <w:gridSpan w:val="2"/>
            <w:tcBorders>
              <w:top w:val="single" w:color="000000" w:sz="4" w:space="0"/>
              <w:left w:val="single" w:color="000000" w:sz="4" w:space="0"/>
              <w:bottom w:val="single" w:color="000000" w:sz="4" w:space="0"/>
              <w:right w:val="single" w:color="000000" w:sz="4" w:space="0"/>
            </w:tcBorders>
            <w:vAlign w:val="center"/>
          </w:tcPr>
          <w:p w14:paraId="7666B7A7">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14 </w:t>
            </w:r>
          </w:p>
        </w:tc>
        <w:tc>
          <w:tcPr>
            <w:tcW w:w="2910" w:type="dxa"/>
            <w:gridSpan w:val="3"/>
            <w:tcBorders>
              <w:top w:val="single" w:color="000000" w:sz="4" w:space="0"/>
              <w:left w:val="single" w:color="000000" w:sz="4" w:space="0"/>
              <w:bottom w:val="single" w:color="000000" w:sz="4" w:space="0"/>
              <w:right w:val="single" w:color="000000" w:sz="4" w:space="0"/>
            </w:tcBorders>
            <w:vAlign w:val="center"/>
          </w:tcPr>
          <w:p w14:paraId="5DA07F19">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 xml:space="preserve">14 </w:t>
            </w:r>
          </w:p>
        </w:tc>
      </w:tr>
      <w:tr w14:paraId="71183962">
        <w:tblPrEx>
          <w:tblCellMar>
            <w:top w:w="0" w:type="dxa"/>
            <w:left w:w="108" w:type="dxa"/>
            <w:bottom w:w="0" w:type="dxa"/>
            <w:right w:w="108" w:type="dxa"/>
          </w:tblCellMar>
        </w:tblPrEx>
        <w:trPr>
          <w:gridAfter w:val="2"/>
          <w:wAfter w:w="395" w:type="dxa"/>
          <w:trHeight w:val="975" w:hRule="atLeast"/>
        </w:trPr>
        <w:tc>
          <w:tcPr>
            <w:tcW w:w="9089" w:type="dxa"/>
            <w:gridSpan w:val="10"/>
            <w:tcBorders>
              <w:top w:val="single" w:color="000000" w:sz="4" w:space="0"/>
              <w:left w:val="single" w:color="000000" w:sz="4" w:space="0"/>
              <w:bottom w:val="single" w:color="000000" w:sz="4" w:space="0"/>
              <w:right w:val="single" w:color="000000" w:sz="4" w:space="0"/>
            </w:tcBorders>
            <w:vAlign w:val="center"/>
          </w:tcPr>
          <w:p w14:paraId="28F599C1">
            <w:pPr>
              <w:widowControl/>
              <w:jc w:val="left"/>
              <w:textAlignment w:val="top"/>
              <w:rPr>
                <w:rFonts w:ascii="宋体" w:hAnsi="宋体" w:cs="宋体"/>
                <w:color w:val="000000"/>
                <w:kern w:val="0"/>
                <w:sz w:val="18"/>
                <w:szCs w:val="18"/>
                <w:lang w:bidi="ar"/>
              </w:rPr>
            </w:pPr>
            <w:r>
              <w:rPr>
                <w:rFonts w:ascii="宋体" w:hAnsi="宋体" w:cs="宋体"/>
                <w:color w:val="000000"/>
                <w:kern w:val="0"/>
                <w:sz w:val="18"/>
                <w:szCs w:val="18"/>
                <w:lang w:bidi="ar"/>
              </w:rPr>
              <w:t>注：对电气间隙进行试验时，相关的固体绝缘将会承受试验电压。由于脉冲试验电压随着额定脉冲电压的提高</w:t>
            </w:r>
            <w:r>
              <w:rPr>
                <w:rFonts w:ascii="宋体" w:hAnsi="宋体" w:cs="宋体"/>
                <w:color w:val="000000"/>
                <w:kern w:val="0"/>
                <w:sz w:val="18"/>
                <w:szCs w:val="18"/>
                <w:lang w:bidi="ar"/>
              </w:rPr>
              <w:br w:type="textWrapping"/>
            </w:r>
            <w:r>
              <w:rPr>
                <w:rFonts w:ascii="宋体" w:hAnsi="宋体" w:cs="宋体"/>
                <w:color w:val="000000"/>
                <w:kern w:val="0"/>
                <w:sz w:val="18"/>
                <w:szCs w:val="18"/>
                <w:lang w:bidi="ar"/>
              </w:rPr>
              <w:t xml:space="preserve">   而提高，固体绝缘有更高的脉冲耐受能力。</w:t>
            </w:r>
          </w:p>
        </w:tc>
      </w:tr>
      <w:tr w14:paraId="07C4E203">
        <w:tblPrEx>
          <w:tblCellMar>
            <w:top w:w="0" w:type="dxa"/>
            <w:left w:w="108" w:type="dxa"/>
            <w:bottom w:w="0" w:type="dxa"/>
            <w:right w:w="108" w:type="dxa"/>
          </w:tblCellMar>
        </w:tblPrEx>
        <w:trPr>
          <w:gridAfter w:val="2"/>
          <w:wAfter w:w="395" w:type="dxa"/>
          <w:trHeight w:val="390" w:hRule="atLeast"/>
        </w:trPr>
        <w:tc>
          <w:tcPr>
            <w:tcW w:w="9089" w:type="dxa"/>
            <w:gridSpan w:val="10"/>
            <w:tcBorders>
              <w:top w:val="nil"/>
              <w:left w:val="nil"/>
              <w:bottom w:val="nil"/>
              <w:right w:val="nil"/>
            </w:tcBorders>
            <w:vAlign w:val="center"/>
          </w:tcPr>
          <w:p w14:paraId="51D06980">
            <w:pPr>
              <w:pStyle w:val="176"/>
              <w:jc w:val="left"/>
            </w:pPr>
            <w:r>
              <w:rPr>
                <w:rFonts w:hint="eastAsia"/>
                <w:lang w:val="en-US" w:eastAsia="zh-CN"/>
              </w:rPr>
              <w:t>C</w:t>
            </w:r>
            <w:r>
              <w:t>.</w:t>
            </w:r>
            <w:r>
              <w:rPr>
                <w:rFonts w:hint="eastAsia"/>
                <w:lang w:val="en-US" w:eastAsia="zh-CN"/>
              </w:rPr>
              <w:t>3</w:t>
            </w:r>
            <w:r>
              <w:rPr>
                <w:rFonts w:hint="eastAsia"/>
              </w:rPr>
              <w:t>特殊环境电气间隙修正</w:t>
            </w:r>
          </w:p>
        </w:tc>
      </w:tr>
      <w:tr w14:paraId="1463DEB6">
        <w:tblPrEx>
          <w:tblCellMar>
            <w:top w:w="0" w:type="dxa"/>
            <w:left w:w="108" w:type="dxa"/>
            <w:bottom w:w="0" w:type="dxa"/>
            <w:right w:w="108" w:type="dxa"/>
          </w:tblCellMar>
        </w:tblPrEx>
        <w:trPr>
          <w:gridAfter w:val="2"/>
          <w:wAfter w:w="395" w:type="dxa"/>
          <w:trHeight w:val="390" w:hRule="atLeast"/>
        </w:trPr>
        <w:tc>
          <w:tcPr>
            <w:tcW w:w="9089" w:type="dxa"/>
            <w:gridSpan w:val="10"/>
            <w:tcBorders>
              <w:top w:val="nil"/>
              <w:left w:val="nil"/>
              <w:bottom w:val="nil"/>
              <w:right w:val="nil"/>
            </w:tcBorders>
            <w:vAlign w:val="center"/>
          </w:tcPr>
          <w:p w14:paraId="5A5DB557">
            <w:pPr>
              <w:pStyle w:val="64"/>
              <w:ind w:firstLine="0" w:firstLineChars="0"/>
            </w:pPr>
            <w:r>
              <w:rPr>
                <w:rFonts w:hint="eastAsia"/>
              </w:rPr>
              <w:t>特殊环境电气间隙修正</w:t>
            </w:r>
            <w:r>
              <w:t>见表</w:t>
            </w:r>
            <w:r>
              <w:rPr>
                <w:rFonts w:hint="eastAsia"/>
                <w:lang w:val="en-US" w:eastAsia="zh-CN"/>
              </w:rPr>
              <w:t>C</w:t>
            </w:r>
            <w:r>
              <w:t>.</w:t>
            </w:r>
            <w:r>
              <w:rPr>
                <w:rFonts w:hint="eastAsia"/>
                <w:lang w:val="en-US" w:eastAsia="zh-CN"/>
              </w:rPr>
              <w:t>3</w:t>
            </w:r>
            <w:r>
              <w:t>。</w:t>
            </w:r>
          </w:p>
        </w:tc>
      </w:tr>
      <w:tr w14:paraId="1EB3E699">
        <w:tblPrEx>
          <w:tblCellMar>
            <w:top w:w="0" w:type="dxa"/>
            <w:left w:w="108" w:type="dxa"/>
            <w:bottom w:w="0" w:type="dxa"/>
            <w:right w:w="108" w:type="dxa"/>
          </w:tblCellMar>
        </w:tblPrEx>
        <w:trPr>
          <w:gridAfter w:val="2"/>
          <w:wAfter w:w="395" w:type="dxa"/>
          <w:trHeight w:val="360" w:hRule="atLeast"/>
        </w:trPr>
        <w:tc>
          <w:tcPr>
            <w:tcW w:w="9089" w:type="dxa"/>
            <w:gridSpan w:val="10"/>
            <w:tcBorders>
              <w:top w:val="nil"/>
              <w:left w:val="nil"/>
              <w:bottom w:val="nil"/>
              <w:right w:val="nil"/>
            </w:tcBorders>
            <w:vAlign w:val="center"/>
          </w:tcPr>
          <w:p w14:paraId="51091BAE">
            <w:pPr>
              <w:pStyle w:val="85"/>
              <w:numPr>
                <w:ilvl w:val="1"/>
                <w:numId w:val="0"/>
              </w:numPr>
              <w:spacing w:before="120" w:after="120"/>
              <w:ind w:left="420"/>
            </w:pPr>
            <w:r>
              <w:t>表</w:t>
            </w:r>
            <w:r>
              <w:rPr>
                <w:rFonts w:hint="eastAsia"/>
                <w:lang w:val="en-US" w:eastAsia="zh-CN"/>
              </w:rPr>
              <w:t>C</w:t>
            </w:r>
            <w:r>
              <w:t xml:space="preserve">.2  </w:t>
            </w:r>
            <w:r>
              <w:rPr>
                <w:rFonts w:hint="eastAsia"/>
              </w:rPr>
              <w:t>特殊环境电气间隙修正</w:t>
            </w:r>
          </w:p>
        </w:tc>
      </w:tr>
      <w:tr w14:paraId="296DAF41">
        <w:tblPrEx>
          <w:tblCellMar>
            <w:top w:w="0" w:type="dxa"/>
            <w:left w:w="108" w:type="dxa"/>
            <w:bottom w:w="0" w:type="dxa"/>
            <w:right w:w="108" w:type="dxa"/>
          </w:tblCellMar>
        </w:tblPrEx>
        <w:trPr>
          <w:gridAfter w:val="3"/>
          <w:wAfter w:w="2595" w:type="dxa"/>
          <w:trHeight w:val="71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344BB922">
            <w:pPr>
              <w:widowControl/>
              <w:jc w:val="center"/>
              <w:textAlignment w:val="top"/>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val="en-US" w:eastAsia="zh-CN" w:bidi="ar"/>
              </w:rPr>
              <w:t>项目</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25646496">
            <w:pPr>
              <w:widowControl/>
              <w:jc w:val="center"/>
              <w:textAlignment w:val="top"/>
              <w:rPr>
                <w:rFonts w:ascii="宋体" w:hAnsi="宋体" w:cs="宋体"/>
                <w:color w:val="000000"/>
                <w:kern w:val="0"/>
                <w:sz w:val="18"/>
                <w:szCs w:val="18"/>
                <w:lang w:bidi="ar"/>
              </w:rPr>
            </w:pPr>
            <w:r>
              <w:rPr>
                <w:rFonts w:ascii="宋体" w:hAnsi="宋体" w:cs="宋体"/>
                <w:color w:val="000000"/>
                <w:kern w:val="0"/>
                <w:sz w:val="18"/>
                <w:szCs w:val="18"/>
                <w:lang w:bidi="ar"/>
              </w:rPr>
              <w:t>电气间隙的修正因子</w:t>
            </w:r>
          </w:p>
        </w:tc>
      </w:tr>
      <w:tr w14:paraId="393D61DD">
        <w:tblPrEx>
          <w:tblCellMar>
            <w:top w:w="0" w:type="dxa"/>
            <w:left w:w="108" w:type="dxa"/>
            <w:bottom w:w="0" w:type="dxa"/>
            <w:right w:w="108" w:type="dxa"/>
          </w:tblCellMar>
        </w:tblPrEx>
        <w:trPr>
          <w:gridAfter w:val="3"/>
          <w:wAfter w:w="2595" w:type="dxa"/>
          <w:trHeight w:val="50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14C95962">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污染等级 3 环境</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3AD1011A">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表 C.1 修正因子基础上乘以 1.25</w:t>
            </w:r>
          </w:p>
        </w:tc>
      </w:tr>
      <w:tr w14:paraId="6FA05AAF">
        <w:tblPrEx>
          <w:tblCellMar>
            <w:top w:w="0" w:type="dxa"/>
            <w:left w:w="108" w:type="dxa"/>
            <w:bottom w:w="0" w:type="dxa"/>
            <w:right w:w="108" w:type="dxa"/>
          </w:tblCellMar>
        </w:tblPrEx>
        <w:trPr>
          <w:gridAfter w:val="3"/>
          <w:wAfter w:w="2595" w:type="dxa"/>
          <w:trHeight w:val="47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015296FC">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污染等级 4 环境</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55B36A05">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表 C.1 修正因子基础上乘以 1.5</w:t>
            </w:r>
          </w:p>
        </w:tc>
      </w:tr>
      <w:tr w14:paraId="0BD4D273">
        <w:tblPrEx>
          <w:tblCellMar>
            <w:top w:w="0" w:type="dxa"/>
            <w:left w:w="108" w:type="dxa"/>
            <w:bottom w:w="0" w:type="dxa"/>
            <w:right w:w="108" w:type="dxa"/>
          </w:tblCellMar>
        </w:tblPrEx>
        <w:trPr>
          <w:gridAfter w:val="3"/>
          <w:wAfter w:w="2595" w:type="dxa"/>
          <w:trHeight w:val="490" w:hRule="atLeast"/>
        </w:trPr>
        <w:tc>
          <w:tcPr>
            <w:tcW w:w="2652" w:type="dxa"/>
            <w:gridSpan w:val="3"/>
            <w:tcBorders>
              <w:top w:val="single" w:color="000000" w:sz="4" w:space="0"/>
              <w:left w:val="single" w:color="000000" w:sz="4" w:space="0"/>
              <w:bottom w:val="single" w:color="000000" w:sz="4" w:space="0"/>
              <w:right w:val="single" w:color="000000" w:sz="4" w:space="0"/>
            </w:tcBorders>
            <w:vAlign w:val="center"/>
          </w:tcPr>
          <w:p w14:paraId="5336A469">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沿海盐雾环境</w:t>
            </w:r>
          </w:p>
        </w:tc>
        <w:tc>
          <w:tcPr>
            <w:tcW w:w="4237" w:type="dxa"/>
            <w:gridSpan w:val="6"/>
            <w:tcBorders>
              <w:top w:val="single" w:color="000000" w:sz="4" w:space="0"/>
              <w:left w:val="single" w:color="000000" w:sz="4" w:space="0"/>
              <w:bottom w:val="single" w:color="000000" w:sz="4" w:space="0"/>
              <w:right w:val="single" w:color="000000" w:sz="4" w:space="0"/>
            </w:tcBorders>
            <w:vAlign w:val="center"/>
          </w:tcPr>
          <w:p w14:paraId="701A9F68">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表 C.1 修正因子基础上乘以 1.5</w:t>
            </w:r>
          </w:p>
        </w:tc>
      </w:tr>
    </w:tbl>
    <w:p w14:paraId="1D490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Times New Roman" w:eastAsia="宋体" w:cs="Times New Roman"/>
          <w:b/>
          <w:bCs/>
          <w:color w:val="C00000"/>
          <w:kern w:val="0"/>
          <w:sz w:val="21"/>
          <w:szCs w:val="20"/>
          <w:lang w:val="en-US" w:eastAsia="zh-CN" w:bidi="ar-SA"/>
        </w:rPr>
      </w:pPr>
    </w:p>
    <w:p w14:paraId="27EE1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Times New Roman" w:eastAsia="宋体" w:cs="Times New Roman"/>
          <w:b/>
          <w:bCs/>
          <w:color w:val="C00000"/>
          <w:kern w:val="0"/>
          <w:sz w:val="21"/>
          <w:szCs w:val="20"/>
          <w:lang w:val="en-US" w:eastAsia="zh-CN" w:bidi="ar-SA"/>
        </w:rPr>
      </w:pPr>
    </w:p>
    <w:p w14:paraId="495E4E40">
      <w:r>
        <w:br w:type="page"/>
      </w:r>
    </w:p>
    <w:p w14:paraId="41ECCB96">
      <w:pPr>
        <w:pStyle w:val="64"/>
      </w:pPr>
    </w:p>
    <w:tbl>
      <w:tblPr>
        <w:tblStyle w:val="29"/>
        <w:tblW w:w="9891" w:type="dxa"/>
        <w:tblInd w:w="93" w:type="dxa"/>
        <w:tblLayout w:type="autofit"/>
        <w:tblCellMar>
          <w:top w:w="0" w:type="dxa"/>
          <w:left w:w="108" w:type="dxa"/>
          <w:bottom w:w="0" w:type="dxa"/>
          <w:right w:w="108" w:type="dxa"/>
        </w:tblCellMar>
      </w:tblPr>
      <w:tblGrid>
        <w:gridCol w:w="9891"/>
      </w:tblGrid>
      <w:tr w14:paraId="0D2EE338">
        <w:tblPrEx>
          <w:tblCellMar>
            <w:top w:w="0" w:type="dxa"/>
            <w:left w:w="108" w:type="dxa"/>
            <w:bottom w:w="0" w:type="dxa"/>
            <w:right w:w="108" w:type="dxa"/>
          </w:tblCellMar>
        </w:tblPrEx>
        <w:trPr>
          <w:trHeight w:val="625" w:hRule="atLeast"/>
        </w:trPr>
        <w:tc>
          <w:tcPr>
            <w:tcW w:w="9891" w:type="dxa"/>
            <w:tcBorders>
              <w:top w:val="nil"/>
              <w:left w:val="nil"/>
              <w:bottom w:val="nil"/>
              <w:right w:val="nil"/>
            </w:tcBorders>
            <w:vAlign w:val="center"/>
          </w:tcPr>
          <w:p w14:paraId="344B0745">
            <w:pPr>
              <w:pStyle w:val="84"/>
              <w:tabs>
                <w:tab w:val="left" w:pos="9660"/>
                <w:tab w:val="left" w:pos="11970"/>
              </w:tabs>
              <w:spacing w:before="60" w:after="120"/>
              <w:ind w:right="15" w:rightChars="7"/>
            </w:pPr>
            <w:bookmarkStart w:id="216" w:name="_Toc26485"/>
            <w:r>
              <w:br w:type="textWrapping"/>
            </w:r>
            <w:r>
              <w:t>( 规 范 性 附 录 )</w:t>
            </w:r>
            <w:bookmarkEnd w:id="216"/>
          </w:p>
          <w:p w14:paraId="3D62AA5F">
            <w:pPr>
              <w:pStyle w:val="176"/>
            </w:pPr>
            <w:r>
              <w:t>功率控制响应时间计算方法</w:t>
            </w:r>
          </w:p>
        </w:tc>
      </w:tr>
      <w:tr w14:paraId="685ED7AF">
        <w:tblPrEx>
          <w:tblCellMar>
            <w:top w:w="0" w:type="dxa"/>
            <w:left w:w="108" w:type="dxa"/>
            <w:bottom w:w="0" w:type="dxa"/>
            <w:right w:w="108" w:type="dxa"/>
          </w:tblCellMar>
        </w:tblPrEx>
        <w:trPr>
          <w:trHeight w:val="330" w:hRule="atLeast"/>
        </w:trPr>
        <w:tc>
          <w:tcPr>
            <w:tcW w:w="9891" w:type="dxa"/>
            <w:tcBorders>
              <w:top w:val="nil"/>
              <w:left w:val="nil"/>
              <w:bottom w:val="nil"/>
              <w:right w:val="nil"/>
            </w:tcBorders>
            <w:vAlign w:val="center"/>
          </w:tcPr>
          <w:p w14:paraId="5ACF939D">
            <w:pPr>
              <w:pStyle w:val="217"/>
            </w:pPr>
            <w:r>
              <w:t>有功功率控制时间相应特性包括启动时间、响应时间和调节时间。固态变压器有功功率设定值响应时</w:t>
            </w:r>
          </w:p>
        </w:tc>
      </w:tr>
      <w:tr w14:paraId="25F922AE">
        <w:tblPrEx>
          <w:tblCellMar>
            <w:top w:w="0" w:type="dxa"/>
            <w:left w:w="108" w:type="dxa"/>
            <w:bottom w:w="0" w:type="dxa"/>
            <w:right w:w="108" w:type="dxa"/>
          </w:tblCellMar>
        </w:tblPrEx>
        <w:trPr>
          <w:trHeight w:val="330" w:hRule="atLeast"/>
        </w:trPr>
        <w:tc>
          <w:tcPr>
            <w:tcW w:w="9891" w:type="dxa"/>
            <w:tcBorders>
              <w:top w:val="nil"/>
              <w:left w:val="nil"/>
              <w:bottom w:val="nil"/>
              <w:right w:val="nil"/>
            </w:tcBorders>
            <w:vAlign w:val="center"/>
          </w:tcPr>
          <w:p w14:paraId="198532C3">
            <w:pPr>
              <w:pStyle w:val="217"/>
              <w:numPr>
                <w:ilvl w:val="1"/>
                <w:numId w:val="0"/>
              </w:numPr>
            </w:pPr>
            <w:r>
              <w:t>间见图</w:t>
            </w:r>
            <w:r>
              <w:rPr>
                <w:rFonts w:hint="eastAsia"/>
                <w:lang w:val="en-US" w:eastAsia="zh-CN"/>
              </w:rPr>
              <w:t>D</w:t>
            </w:r>
            <w:r>
              <w:t>.1。</w:t>
            </w:r>
          </w:p>
        </w:tc>
      </w:tr>
      <w:tr w14:paraId="5AB21F6E">
        <w:tblPrEx>
          <w:tblCellMar>
            <w:top w:w="0" w:type="dxa"/>
            <w:left w:w="108" w:type="dxa"/>
            <w:bottom w:w="0" w:type="dxa"/>
            <w:right w:w="108" w:type="dxa"/>
          </w:tblCellMar>
        </w:tblPrEx>
        <w:trPr>
          <w:trHeight w:val="330" w:hRule="atLeast"/>
        </w:trPr>
        <w:tc>
          <w:tcPr>
            <w:tcW w:w="9891" w:type="dxa"/>
            <w:tcBorders>
              <w:top w:val="nil"/>
              <w:left w:val="nil"/>
              <w:bottom w:val="nil"/>
              <w:right w:val="nil"/>
            </w:tcBorders>
          </w:tcPr>
          <w:p w14:paraId="61B43DC2">
            <w:pPr>
              <w:pStyle w:val="217"/>
            </w:pPr>
            <w:r>
              <w:t>有功功率设定值控制启动时间应按式(</w:t>
            </w:r>
            <w:r>
              <w:rPr>
                <w:rFonts w:hint="eastAsia"/>
                <w:lang w:val="en-US" w:eastAsia="zh-CN"/>
              </w:rPr>
              <w:t>D</w:t>
            </w:r>
            <w:r>
              <w:t>.1)进行计算。</w:t>
            </w:r>
          </w:p>
        </w:tc>
      </w:tr>
      <w:tr w14:paraId="28F4EDB6">
        <w:tblPrEx>
          <w:tblCellMar>
            <w:top w:w="0" w:type="dxa"/>
            <w:left w:w="108" w:type="dxa"/>
            <w:bottom w:w="0" w:type="dxa"/>
            <w:right w:w="108" w:type="dxa"/>
          </w:tblCellMar>
        </w:tblPrEx>
        <w:trPr>
          <w:trHeight w:val="405" w:hRule="atLeast"/>
        </w:trPr>
        <w:tc>
          <w:tcPr>
            <w:tcW w:w="9891" w:type="dxa"/>
            <w:tcBorders>
              <w:top w:val="nil"/>
              <w:left w:val="nil"/>
              <w:bottom w:val="nil"/>
              <w:right w:val="nil"/>
            </w:tcBorders>
            <w:vAlign w:val="center"/>
          </w:tcPr>
          <w:p w14:paraId="7E6CA4A3">
            <w:pPr>
              <w:pStyle w:val="64"/>
              <w:jc w:val="right"/>
            </w:pPr>
            <w:r>
              <w:t>tp,sta=t₁—t₀                          ……………………………… (</w:t>
            </w:r>
            <w:r>
              <w:rPr>
                <w:rFonts w:hint="eastAsia"/>
                <w:lang w:val="en-US" w:eastAsia="zh-CN"/>
              </w:rPr>
              <w:t>D</w:t>
            </w:r>
            <w:r>
              <w:t>.1)</w:t>
            </w:r>
          </w:p>
        </w:tc>
      </w:tr>
      <w:tr w14:paraId="3BBCDFA4">
        <w:tblPrEx>
          <w:tblCellMar>
            <w:top w:w="0" w:type="dxa"/>
            <w:left w:w="108" w:type="dxa"/>
            <w:bottom w:w="0" w:type="dxa"/>
            <w:right w:w="108" w:type="dxa"/>
          </w:tblCellMar>
        </w:tblPrEx>
        <w:trPr>
          <w:trHeight w:val="330" w:hRule="atLeast"/>
        </w:trPr>
        <w:tc>
          <w:tcPr>
            <w:tcW w:w="9891" w:type="dxa"/>
            <w:tcBorders>
              <w:top w:val="nil"/>
              <w:left w:val="nil"/>
              <w:bottom w:val="nil"/>
              <w:right w:val="nil"/>
            </w:tcBorders>
            <w:vAlign w:val="center"/>
          </w:tcPr>
          <w:p w14:paraId="5750398E">
            <w:pPr>
              <w:pStyle w:val="217"/>
            </w:pPr>
            <w:r>
              <w:t>有功功率设定值控制响应时间应按式(</w:t>
            </w:r>
            <w:r>
              <w:rPr>
                <w:rFonts w:hint="eastAsia"/>
                <w:lang w:val="en-US" w:eastAsia="zh-CN"/>
              </w:rPr>
              <w:t>D</w:t>
            </w:r>
            <w:r>
              <w:t>.2)进行计算。</w:t>
            </w:r>
          </w:p>
        </w:tc>
      </w:tr>
      <w:tr w14:paraId="3F8F4202">
        <w:tblPrEx>
          <w:tblCellMar>
            <w:top w:w="0" w:type="dxa"/>
            <w:left w:w="108" w:type="dxa"/>
            <w:bottom w:w="0" w:type="dxa"/>
            <w:right w:w="108" w:type="dxa"/>
          </w:tblCellMar>
        </w:tblPrEx>
        <w:trPr>
          <w:trHeight w:val="405" w:hRule="atLeast"/>
        </w:trPr>
        <w:tc>
          <w:tcPr>
            <w:tcW w:w="9891" w:type="dxa"/>
            <w:tcBorders>
              <w:top w:val="nil"/>
              <w:left w:val="nil"/>
              <w:bottom w:val="nil"/>
              <w:right w:val="nil"/>
            </w:tcBorders>
            <w:vAlign w:val="center"/>
          </w:tcPr>
          <w:p w14:paraId="57DC755C">
            <w:pPr>
              <w:pStyle w:val="64"/>
              <w:jc w:val="right"/>
            </w:pPr>
            <w:r>
              <w:t xml:space="preserve">tp,res=t₂—t₀                         </w:t>
            </w:r>
            <w:r>
              <w:rPr>
                <w:rFonts w:hint="eastAsia"/>
              </w:rPr>
              <w:t xml:space="preserve">  </w:t>
            </w:r>
            <w:r>
              <w:t>………………………………(</w:t>
            </w:r>
            <w:r>
              <w:rPr>
                <w:rFonts w:hint="eastAsia"/>
                <w:lang w:val="en-US" w:eastAsia="zh-CN"/>
              </w:rPr>
              <w:t>D</w:t>
            </w:r>
            <w:r>
              <w:t>.2)</w:t>
            </w:r>
          </w:p>
        </w:tc>
      </w:tr>
      <w:tr w14:paraId="4B2CB312">
        <w:tblPrEx>
          <w:tblCellMar>
            <w:top w:w="0" w:type="dxa"/>
            <w:left w:w="108" w:type="dxa"/>
            <w:bottom w:w="0" w:type="dxa"/>
            <w:right w:w="108" w:type="dxa"/>
          </w:tblCellMar>
        </w:tblPrEx>
        <w:trPr>
          <w:trHeight w:val="330" w:hRule="atLeast"/>
        </w:trPr>
        <w:tc>
          <w:tcPr>
            <w:tcW w:w="9891" w:type="dxa"/>
            <w:tcBorders>
              <w:top w:val="nil"/>
              <w:left w:val="nil"/>
              <w:bottom w:val="nil"/>
              <w:right w:val="nil"/>
            </w:tcBorders>
          </w:tcPr>
          <w:p w14:paraId="75E41CAB">
            <w:pPr>
              <w:pStyle w:val="217"/>
            </w:pPr>
            <w:r>
              <w:t>有功功率设定值控制调节时间应按式(</w:t>
            </w:r>
            <w:r>
              <w:rPr>
                <w:rFonts w:hint="eastAsia"/>
                <w:lang w:val="en-US" w:eastAsia="zh-CN"/>
              </w:rPr>
              <w:t>D</w:t>
            </w:r>
            <w:r>
              <w:t>.3)进行计算。</w:t>
            </w:r>
          </w:p>
        </w:tc>
      </w:tr>
      <w:tr w14:paraId="5EEA4FC1">
        <w:tblPrEx>
          <w:tblCellMar>
            <w:top w:w="0" w:type="dxa"/>
            <w:left w:w="108" w:type="dxa"/>
            <w:bottom w:w="0" w:type="dxa"/>
            <w:right w:w="108" w:type="dxa"/>
          </w:tblCellMar>
        </w:tblPrEx>
        <w:trPr>
          <w:trHeight w:val="90" w:hRule="atLeast"/>
        </w:trPr>
        <w:tc>
          <w:tcPr>
            <w:tcW w:w="9891" w:type="dxa"/>
            <w:tcBorders>
              <w:top w:val="nil"/>
              <w:left w:val="nil"/>
              <w:bottom w:val="nil"/>
              <w:right w:val="nil"/>
            </w:tcBorders>
            <w:vAlign w:val="center"/>
          </w:tcPr>
          <w:p w14:paraId="0CDEA98F">
            <w:pPr>
              <w:pStyle w:val="64"/>
              <w:jc w:val="right"/>
            </w:pPr>
            <w:r>
              <w:t>tp,reg=t3—t</w:t>
            </w:r>
            <w:r>
              <w:rPr>
                <w:rFonts w:hint="eastAsia"/>
                <w:vertAlign w:val="subscript"/>
              </w:rPr>
              <w:t>0</w:t>
            </w:r>
            <w:r>
              <w:t xml:space="preserve">                          ……………………………… (</w:t>
            </w:r>
            <w:r>
              <w:rPr>
                <w:rFonts w:hint="eastAsia"/>
                <w:lang w:val="en-US" w:eastAsia="zh-CN"/>
              </w:rPr>
              <w:t>D</w:t>
            </w:r>
            <w:r>
              <w:t>.3)</w:t>
            </w:r>
          </w:p>
          <w:p w14:paraId="551B9BA1">
            <w:pPr>
              <w:pStyle w:val="64"/>
              <w:ind w:firstLine="0" w:firstLineChars="0"/>
              <w:jc w:val="center"/>
            </w:pPr>
            <w:r>
              <w:drawing>
                <wp:inline distT="0" distB="0" distL="114300" distR="114300">
                  <wp:extent cx="5372100" cy="3515360"/>
                  <wp:effectExtent l="0" t="0" r="0" b="889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65"/>
                          <a:stretch>
                            <a:fillRect/>
                          </a:stretch>
                        </pic:blipFill>
                        <pic:spPr>
                          <a:xfrm>
                            <a:off x="0" y="0"/>
                            <a:ext cx="5372100" cy="3515360"/>
                          </a:xfrm>
                          <a:prstGeom prst="rect">
                            <a:avLst/>
                          </a:prstGeom>
                          <a:noFill/>
                          <a:ln>
                            <a:noFill/>
                          </a:ln>
                        </pic:spPr>
                      </pic:pic>
                    </a:graphicData>
                  </a:graphic>
                </wp:inline>
              </w:drawing>
            </w:r>
          </w:p>
          <w:p w14:paraId="1F2E50AC">
            <w:pPr>
              <w:pStyle w:val="64"/>
              <w:ind w:firstLine="0" w:firstLineChars="0"/>
            </w:pPr>
          </w:p>
          <w:p w14:paraId="4ED9A083">
            <w:pPr>
              <w:pStyle w:val="64"/>
              <w:ind w:firstLine="0" w:firstLineChars="0"/>
            </w:pPr>
            <w:r>
              <w:t>P(t)——设定值运行期间有功功率曲线；</w:t>
            </w:r>
          </w:p>
          <w:p w14:paraId="0DEFAD1E">
            <w:pPr>
              <w:pStyle w:val="64"/>
              <w:ind w:firstLine="0" w:firstLineChars="0"/>
            </w:pPr>
            <w:r>
              <w:t>P</w:t>
            </w:r>
            <w:r>
              <w:rPr>
                <w:rFonts w:hint="eastAsia"/>
                <w:vertAlign w:val="subscript"/>
              </w:rPr>
              <w:t>1</w:t>
            </w:r>
            <w:r>
              <w:t>——有功功率初始运行值(上一设定值)；</w:t>
            </w:r>
          </w:p>
          <w:p w14:paraId="3ED0FE1D">
            <w:pPr>
              <w:pStyle w:val="64"/>
              <w:ind w:firstLine="0" w:firstLineChars="0"/>
            </w:pPr>
            <w:r>
              <w:t>P₂——有功功率控制目标值(下一设定值)；</w:t>
            </w:r>
          </w:p>
          <w:p w14:paraId="72B16A6F">
            <w:pPr>
              <w:pStyle w:val="64"/>
              <w:ind w:firstLine="0" w:firstLineChars="0"/>
            </w:pPr>
            <w:r>
              <w:t>T</w:t>
            </w:r>
            <w:r>
              <w:rPr>
                <w:rFonts w:hint="eastAsia"/>
                <w:vertAlign w:val="subscript"/>
              </w:rPr>
              <w:t>0</w:t>
            </w:r>
            <w:r>
              <w:t>——设定值控制开始时刻；</w:t>
            </w:r>
          </w:p>
          <w:p w14:paraId="1B4D249B">
            <w:pPr>
              <w:pStyle w:val="64"/>
              <w:ind w:firstLine="0" w:firstLineChars="0"/>
            </w:pPr>
            <w:r>
              <w:t>t₁——有功功率变化第一次达到设定阶跃值10%的时刻；</w:t>
            </w:r>
          </w:p>
          <w:p w14:paraId="79820095">
            <w:pPr>
              <w:pStyle w:val="64"/>
              <w:ind w:firstLine="0" w:firstLineChars="0"/>
            </w:pPr>
            <w:r>
              <w:t>t₂——有功功率变化第一次达到设定阶跃值90%的时刻；</w:t>
            </w:r>
          </w:p>
          <w:p w14:paraId="0B5D4FC4">
            <w:pPr>
              <w:pStyle w:val="64"/>
              <w:ind w:firstLine="0" w:firstLineChars="0"/>
            </w:pPr>
            <w:r>
              <w:t>t₃——有功功率持续运行在设定阶跃值±5%之内的开始时刻。</w:t>
            </w:r>
          </w:p>
          <w:p w14:paraId="15C9BA98">
            <w:pPr>
              <w:pStyle w:val="262"/>
              <w:widowControl/>
              <w:numPr>
                <w:ilvl w:val="0"/>
                <w:numId w:val="6"/>
              </w:numPr>
              <w:autoSpaceDE w:val="0"/>
              <w:autoSpaceDN w:val="0"/>
              <w:adjustRightInd/>
              <w:spacing w:line="14" w:lineRule="exact"/>
              <w:ind w:firstLine="0" w:firstLineChars="0"/>
              <w:jc w:val="center"/>
              <w:rPr>
                <w:rFonts w:ascii="黑体" w:hAnsi="黑体" w:eastAsia="黑体"/>
                <w:vanish/>
                <w:kern w:val="0"/>
                <w:sz w:val="2"/>
              </w:rPr>
            </w:pPr>
          </w:p>
          <w:p w14:paraId="77080905">
            <w:pPr>
              <w:pStyle w:val="262"/>
              <w:widowControl/>
              <w:numPr>
                <w:ilvl w:val="0"/>
                <w:numId w:val="6"/>
              </w:numPr>
              <w:autoSpaceDE w:val="0"/>
              <w:autoSpaceDN w:val="0"/>
              <w:adjustRightInd/>
              <w:spacing w:line="14" w:lineRule="exact"/>
              <w:ind w:firstLine="0" w:firstLineChars="0"/>
              <w:jc w:val="center"/>
              <w:rPr>
                <w:rFonts w:ascii="黑体" w:hAnsi="黑体" w:eastAsia="黑体"/>
                <w:vanish/>
                <w:kern w:val="0"/>
                <w:sz w:val="2"/>
              </w:rPr>
            </w:pPr>
          </w:p>
          <w:p w14:paraId="0A4F00AD">
            <w:pPr>
              <w:pStyle w:val="262"/>
              <w:widowControl/>
              <w:numPr>
                <w:ilvl w:val="0"/>
                <w:numId w:val="6"/>
              </w:numPr>
              <w:autoSpaceDE w:val="0"/>
              <w:autoSpaceDN w:val="0"/>
              <w:adjustRightInd/>
              <w:spacing w:line="14" w:lineRule="exact"/>
              <w:ind w:firstLine="0" w:firstLineChars="0"/>
              <w:jc w:val="center"/>
              <w:rPr>
                <w:rFonts w:ascii="黑体" w:hAnsi="黑体" w:eastAsia="黑体"/>
                <w:vanish/>
                <w:kern w:val="0"/>
                <w:sz w:val="2"/>
              </w:rPr>
            </w:pPr>
          </w:p>
          <w:p w14:paraId="13D9AA11">
            <w:pPr>
              <w:pStyle w:val="91"/>
              <w:spacing w:before="120" w:after="120"/>
            </w:pPr>
            <w:r>
              <w:t>功率控制响应时间示意图</w:t>
            </w:r>
          </w:p>
          <w:p w14:paraId="205E1104">
            <w:pPr>
              <w:pStyle w:val="64"/>
              <w:ind w:firstLine="0" w:firstLineChars="0"/>
            </w:pPr>
          </w:p>
          <w:p w14:paraId="53BF7AD4">
            <w:pPr>
              <w:pStyle w:val="64"/>
              <w:ind w:firstLine="0" w:firstLineChars="0"/>
              <w:jc w:val="center"/>
            </w:pPr>
          </w:p>
          <w:p w14:paraId="73D7EF94">
            <w:pPr>
              <w:pStyle w:val="64"/>
              <w:ind w:firstLine="0" w:firstLineChars="0"/>
              <w:jc w:val="center"/>
            </w:pPr>
          </w:p>
          <w:p w14:paraId="3E0EF56E">
            <w:pPr>
              <w:pStyle w:val="64"/>
              <w:ind w:firstLine="0" w:firstLineChars="0"/>
            </w:pPr>
          </w:p>
        </w:tc>
      </w:tr>
    </w:tbl>
    <w:p w14:paraId="24002B1C">
      <w:pPr>
        <w:pStyle w:val="71"/>
        <w:spacing w:before="96" w:after="120"/>
      </w:pPr>
      <w:bookmarkStart w:id="217" w:name="_Toc11434"/>
      <w:bookmarkStart w:id="218" w:name="_Toc4728"/>
      <w:bookmarkStart w:id="219" w:name="_Toc27387"/>
      <w:r>
        <w:rPr>
          <w:rFonts w:hint="eastAsia"/>
        </w:rPr>
        <w:t>参考文献</w:t>
      </w:r>
      <w:bookmarkEnd w:id="217"/>
      <w:bookmarkEnd w:id="218"/>
      <w:bookmarkEnd w:id="219"/>
    </w:p>
    <w:p w14:paraId="3582A28C">
      <w:pPr>
        <w:pStyle w:val="64"/>
        <w:numPr>
          <w:ilvl w:val="0"/>
          <w:numId w:val="58"/>
        </w:numPr>
        <w:rPr>
          <w:rFonts w:hAnsi="宋体" w:cs="宋体"/>
        </w:rPr>
      </w:pPr>
      <w:r>
        <w:rPr>
          <w:rFonts w:hint="eastAsia" w:hAnsi="宋体" w:cs="宋体"/>
        </w:rPr>
        <w:t>GB/T 4798.2 电工电子产品应用环境条件 第2部分：运输</w:t>
      </w:r>
    </w:p>
    <w:p w14:paraId="6FA2925F">
      <w:pPr>
        <w:pStyle w:val="64"/>
        <w:numPr>
          <w:ilvl w:val="0"/>
          <w:numId w:val="58"/>
        </w:numPr>
        <w:rPr>
          <w:rFonts w:hAnsi="宋体" w:cs="宋体"/>
        </w:rPr>
      </w:pPr>
      <w:r>
        <w:rPr>
          <w:rFonts w:hint="eastAsia" w:hAnsi="宋体" w:cs="宋体"/>
        </w:rPr>
        <w:t>GB/T 5169.11 电工电子产品着火危险试验 第11部分：灼热丝/热丝基本试验方法 成品的灼热丝可燃性试验方法（GWEPT）</w:t>
      </w:r>
    </w:p>
    <w:p w14:paraId="4AD64B96">
      <w:pPr>
        <w:pStyle w:val="64"/>
        <w:numPr>
          <w:ilvl w:val="0"/>
          <w:numId w:val="58"/>
        </w:numPr>
        <w:rPr>
          <w:rFonts w:hAnsi="宋体" w:cs="宋体"/>
        </w:rPr>
      </w:pPr>
      <w:r>
        <w:rPr>
          <w:rFonts w:hint="eastAsia" w:hAnsi="宋体" w:cs="宋体"/>
        </w:rPr>
        <w:t>GB/T 13384 机电产品包装通用技术条件</w:t>
      </w:r>
    </w:p>
    <w:p w14:paraId="1A1E83C0">
      <w:pPr>
        <w:pStyle w:val="64"/>
        <w:numPr>
          <w:ilvl w:val="0"/>
          <w:numId w:val="58"/>
        </w:numPr>
        <w:rPr>
          <w:rFonts w:hAnsi="宋体" w:cs="宋体"/>
        </w:rPr>
      </w:pPr>
      <w:r>
        <w:rPr>
          <w:rFonts w:hint="eastAsia" w:hAnsi="宋体" w:cs="宋体"/>
        </w:rPr>
        <w:t>GB/T 16935.1 低压系统内设备的绝缘配合 第1部分：原理、要求和试验</w:t>
      </w:r>
    </w:p>
    <w:p w14:paraId="1FB11074">
      <w:pPr>
        <w:pStyle w:val="64"/>
        <w:numPr>
          <w:ilvl w:val="0"/>
          <w:numId w:val="58"/>
        </w:numPr>
        <w:rPr>
          <w:rFonts w:hAnsi="宋体" w:cs="宋体"/>
        </w:rPr>
      </w:pPr>
      <w:r>
        <w:rPr>
          <w:rFonts w:hint="eastAsia" w:hAnsi="宋体" w:cs="宋体"/>
        </w:rPr>
        <w:t>GB/T 16935.3 低压系统内设备的绝缘配合 第3部分：利用涂层、罐封和模压进行防污保护</w:t>
      </w:r>
    </w:p>
    <w:p w14:paraId="66D0F25A">
      <w:pPr>
        <w:pStyle w:val="64"/>
        <w:numPr>
          <w:ilvl w:val="0"/>
          <w:numId w:val="58"/>
        </w:numPr>
        <w:rPr>
          <w:rFonts w:hAnsi="宋体" w:cs="宋体"/>
        </w:rPr>
      </w:pPr>
      <w:r>
        <w:rPr>
          <w:rFonts w:hint="eastAsia" w:hAnsi="宋体" w:cs="宋体"/>
        </w:rPr>
        <w:t>GB/T 16935.4 低压系统内设备的绝缘配合 第4部分：高频电压应力考虑事项</w:t>
      </w:r>
    </w:p>
    <w:p w14:paraId="78EE5A15">
      <w:pPr>
        <w:pStyle w:val="64"/>
        <w:numPr>
          <w:ilvl w:val="0"/>
          <w:numId w:val="58"/>
        </w:numPr>
        <w:rPr>
          <w:rFonts w:hAnsi="宋体" w:cs="宋体"/>
        </w:rPr>
      </w:pPr>
      <w:r>
        <w:rPr>
          <w:rFonts w:hint="eastAsia" w:hAnsi="宋体" w:cs="宋体"/>
        </w:rPr>
        <w:t>GB/T 17626.2 电磁兼容 试验和测量技术静电放电抗扰度试验</w:t>
      </w:r>
    </w:p>
    <w:p w14:paraId="6B02CD57">
      <w:pPr>
        <w:pStyle w:val="64"/>
        <w:numPr>
          <w:ilvl w:val="0"/>
          <w:numId w:val="58"/>
        </w:numPr>
        <w:rPr>
          <w:rFonts w:hAnsi="宋体" w:cs="宋体"/>
        </w:rPr>
      </w:pPr>
      <w:r>
        <w:rPr>
          <w:rFonts w:hint="eastAsia" w:hAnsi="宋体" w:cs="宋体"/>
        </w:rPr>
        <w:t>GB/T 17626.3 电磁兼容 试验和测量技术射频电磁场辐射抗扰度试验</w:t>
      </w:r>
    </w:p>
    <w:p w14:paraId="658C6A3B">
      <w:pPr>
        <w:pStyle w:val="64"/>
        <w:numPr>
          <w:ilvl w:val="0"/>
          <w:numId w:val="58"/>
        </w:numPr>
        <w:rPr>
          <w:rFonts w:hAnsi="宋体" w:cs="宋体"/>
        </w:rPr>
      </w:pPr>
      <w:r>
        <w:rPr>
          <w:rFonts w:hint="eastAsia" w:hAnsi="宋体" w:cs="宋体"/>
        </w:rPr>
        <w:t>GB/T 17626.4 电磁兼容 试验和测量技术 电快速瞬变脉冲群抗扰度试验</w:t>
      </w:r>
    </w:p>
    <w:p w14:paraId="56D43B5D">
      <w:pPr>
        <w:pStyle w:val="64"/>
        <w:numPr>
          <w:ilvl w:val="0"/>
          <w:numId w:val="58"/>
        </w:numPr>
        <w:rPr>
          <w:rFonts w:hAnsi="宋体" w:cs="宋体"/>
        </w:rPr>
      </w:pPr>
      <w:r>
        <w:rPr>
          <w:rFonts w:hint="eastAsia" w:hAnsi="宋体" w:cs="宋体"/>
        </w:rPr>
        <w:t>GB/T 17626.5 电磁兼容 试验和测量技术 浪涌(冲击)抗扰度试验</w:t>
      </w:r>
    </w:p>
    <w:p w14:paraId="26F64823">
      <w:pPr>
        <w:pStyle w:val="64"/>
        <w:numPr>
          <w:ilvl w:val="0"/>
          <w:numId w:val="58"/>
        </w:numPr>
        <w:rPr>
          <w:rFonts w:hAnsi="宋体" w:cs="宋体"/>
        </w:rPr>
      </w:pPr>
      <w:r>
        <w:rPr>
          <w:rFonts w:hint="eastAsia" w:hAnsi="宋体" w:cs="宋体"/>
        </w:rPr>
        <w:t>GB/T 17626.6 电磁兼容 试验和测量技术 射频场感应的传导骚扰抗扰度</w:t>
      </w:r>
    </w:p>
    <w:p w14:paraId="513A2907">
      <w:pPr>
        <w:pStyle w:val="64"/>
        <w:numPr>
          <w:ilvl w:val="0"/>
          <w:numId w:val="58"/>
        </w:numPr>
        <w:rPr>
          <w:rFonts w:hAnsi="宋体" w:cs="宋体"/>
        </w:rPr>
      </w:pPr>
      <w:r>
        <w:rPr>
          <w:rFonts w:hint="eastAsia" w:hAnsi="宋体" w:cs="宋体"/>
        </w:rPr>
        <w:t>GB/T 17626.8 电磁兼容 试验和测量技术 工频磁场抗扰度试验</w:t>
      </w:r>
    </w:p>
    <w:p w14:paraId="3F44C1DE">
      <w:pPr>
        <w:pStyle w:val="64"/>
        <w:numPr>
          <w:ilvl w:val="0"/>
          <w:numId w:val="58"/>
        </w:numPr>
        <w:rPr>
          <w:rFonts w:hAnsi="宋体" w:cs="宋体"/>
        </w:rPr>
      </w:pPr>
      <w:r>
        <w:rPr>
          <w:rFonts w:hint="eastAsia" w:hAnsi="宋体" w:cs="宋体"/>
        </w:rPr>
        <w:t>GB/T 17799.2 电磁兼容 通用标准工业环境中的抗扰度试验</w:t>
      </w:r>
    </w:p>
    <w:p w14:paraId="402F0EB5">
      <w:pPr>
        <w:pStyle w:val="64"/>
      </w:pPr>
    </w:p>
    <w:p w14:paraId="6853FAC3">
      <w:pPr>
        <w:pStyle w:val="64"/>
      </w:pPr>
    </w:p>
    <w:p w14:paraId="78C7EFD7">
      <w:pPr>
        <w:pStyle w:val="64"/>
      </w:pPr>
    </w:p>
    <w:p w14:paraId="2949059D">
      <w:pPr>
        <w:jc w:val="center"/>
      </w:pPr>
      <w:bookmarkStart w:id="220" w:name="BookMark8"/>
      <w: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6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3"/>
      <w:bookmarkEnd w:id="220"/>
    </w:p>
    <w:p w14:paraId="71693146"/>
    <w:sectPr>
      <w:headerReference r:id="rId16" w:type="default"/>
      <w:footerReference r:id="rId18" w:type="default"/>
      <w:headerReference r:id="rId17" w:type="even"/>
      <w:footerReference r:id="rId19" w:type="even"/>
      <w:pgSz w:w="11906" w:h="16838"/>
      <w:pgMar w:top="1928" w:right="1134" w:bottom="1134" w:left="1134" w:header="1418" w:footer="1134" w:gutter="283"/>
      <w:pgBorders>
        <w:top w:val="none" w:sz="0" w:space="0"/>
        <w:left w:val="none" w:sz="0" w:space="0"/>
        <w:bottom w:val="none" w:sz="0" w:space="0"/>
        <w:right w:val="none" w:sz="0" w:space="0"/>
      </w:pgBorders>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C0EB">
    <w:pPr>
      <w:pStyle w:val="18"/>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434A8">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54434A8">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BA16B">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9332F">
    <w:pPr>
      <w:pStyle w:val="1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5BBE1AAD">
                              <w:pPr>
                                <w:pStyle w:val="18"/>
                              </w:pPr>
                              <w:r>
                                <w:fldChar w:fldCharType="begin"/>
                              </w:r>
                              <w:r>
                                <w:instrText xml:space="preserve">PAGE   \* MERGEFORMAT</w:instrText>
                              </w:r>
                              <w:r>
                                <w:fldChar w:fldCharType="separate"/>
                              </w:r>
                              <w:r>
                                <w:rPr>
                                  <w:lang w:val="zh-CN"/>
                                </w:rPr>
                                <w:t>I</w:t>
                              </w:r>
                              <w:r>
                                <w:fldChar w:fldCharType="end"/>
                              </w:r>
                            </w:p>
                          </w:sdtContent>
                        </w:sdt>
                        <w:p w14:paraId="2712551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5BBE1AAD">
                        <w:pPr>
                          <w:pStyle w:val="18"/>
                        </w:pPr>
                        <w:r>
                          <w:fldChar w:fldCharType="begin"/>
                        </w:r>
                        <w:r>
                          <w:instrText xml:space="preserve">PAGE   \* MERGEFORMAT</w:instrText>
                        </w:r>
                        <w:r>
                          <w:fldChar w:fldCharType="separate"/>
                        </w:r>
                        <w:r>
                          <w:rPr>
                            <w:lang w:val="zh-CN"/>
                          </w:rPr>
                          <w:t>I</w:t>
                        </w:r>
                        <w:r>
                          <w:fldChar w:fldCharType="end"/>
                        </w:r>
                      </w:p>
                    </w:sdtContent>
                  </w:sdt>
                  <w:p w14:paraId="2712551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68CF5">
    <w:pPr>
      <w:pStyle w:val="18"/>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BC39F">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48BC39F">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32148">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9223F50">
                              <w:pPr>
                                <w:pStyle w:val="18"/>
                              </w:pPr>
                              <w:r>
                                <w:fldChar w:fldCharType="begin"/>
                              </w:r>
                              <w:r>
                                <w:instrText xml:space="preserve">PAGE   \* MERGEFORMAT</w:instrText>
                              </w:r>
                              <w:r>
                                <w:fldChar w:fldCharType="separate"/>
                              </w:r>
                              <w:r>
                                <w:rPr>
                                  <w:lang w:val="zh-CN"/>
                                </w:rPr>
                                <w:t>II</w:t>
                              </w:r>
                              <w:r>
                                <w:fldChar w:fldCharType="end"/>
                              </w:r>
                            </w:p>
                          </w:sdtContent>
                        </w:sdt>
                        <w:p w14:paraId="51E39D5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19223F50">
                        <w:pPr>
                          <w:pStyle w:val="18"/>
                        </w:pPr>
                        <w:r>
                          <w:fldChar w:fldCharType="begin"/>
                        </w:r>
                        <w:r>
                          <w:instrText xml:space="preserve">PAGE   \* MERGEFORMAT</w:instrText>
                        </w:r>
                        <w:r>
                          <w:fldChar w:fldCharType="separate"/>
                        </w:r>
                        <w:r>
                          <w:rPr>
                            <w:lang w:val="zh-CN"/>
                          </w:rPr>
                          <w:t>II</w:t>
                        </w:r>
                        <w:r>
                          <w:fldChar w:fldCharType="end"/>
                        </w:r>
                      </w:p>
                    </w:sdtContent>
                  </w:sdt>
                  <w:p w14:paraId="51E39D5A"/>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9C9EC">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E75E7">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6E75E7">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E24B9">
    <w:pPr>
      <w:pStyle w:val="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A7DB4">
                          <w:pPr>
                            <w:pStyle w:val="60"/>
                          </w:pPr>
                          <w:r>
                            <w:fldChar w:fldCharType="begin"/>
                          </w:r>
                          <w:r>
                            <w:instrText xml:space="preserve">PAGE   \* MERGEFORMAT</w:instrText>
                          </w:r>
                          <w:r>
                            <w:fldChar w:fldCharType="separate"/>
                          </w:r>
                          <w:r>
                            <w:rPr>
                              <w:lang w:val="zh-CN"/>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60A7DB4">
                    <w:pPr>
                      <w:pStyle w:val="60"/>
                    </w:pPr>
                    <w:r>
                      <w:fldChar w:fldCharType="begin"/>
                    </w:r>
                    <w:r>
                      <w:instrText xml:space="preserve">PAGE   \* MERGEFORMAT</w:instrText>
                    </w:r>
                    <w:r>
                      <w:fldChar w:fldCharType="separate"/>
                    </w:r>
                    <w:r>
                      <w:rPr>
                        <w:lang w:val="zh-CN"/>
                      </w:rP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D3E29">
    <w:pPr>
      <w:pStyle w:val="18"/>
      <w:jc w:val="left"/>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2A4B3">
                          <w:pPr>
                            <w:pStyle w:val="18"/>
                            <w:jc w:val="left"/>
                          </w:pPr>
                          <w:r>
                            <w:fldChar w:fldCharType="begin"/>
                          </w:r>
                          <w:r>
                            <w:instrText xml:space="preserve">PAGE   \* MERGEFORMAT</w:instrText>
                          </w:r>
                          <w:r>
                            <w:fldChar w:fldCharType="separate"/>
                          </w:r>
                          <w:r>
                            <w:rPr>
                              <w:lang w:val="zh-CN"/>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D42A4B3">
                    <w:pPr>
                      <w:pStyle w:val="18"/>
                      <w:jc w:val="left"/>
                    </w:pPr>
                    <w:r>
                      <w:fldChar w:fldCharType="begin"/>
                    </w:r>
                    <w:r>
                      <w:instrText xml:space="preserve">PAGE   \* MERGEFORMAT</w:instrText>
                    </w:r>
                    <w:r>
                      <w:fldChar w:fldCharType="separate"/>
                    </w:r>
                    <w:r>
                      <w:rPr>
                        <w:lang w:val="zh-CN"/>
                      </w:rP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5F05A">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62C54">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BB2A7">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63F93">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A92F4">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9E1F">
    <w:pPr>
      <w:pStyle w:val="69"/>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T/CEATEC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06DED">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C711F"/>
    <w:multiLevelType w:val="singleLevel"/>
    <w:tmpl w:val="9EBC711F"/>
    <w:lvl w:ilvl="0" w:tentative="0">
      <w:start w:val="1"/>
      <w:numFmt w:val="decimal"/>
      <w:suff w:val="space"/>
      <w:lvlText w:val="[%1]"/>
      <w:lvlJc w:val="left"/>
    </w:lvl>
  </w:abstractNum>
  <w:abstractNum w:abstractNumId="1">
    <w:nsid w:val="EFD1FB4A"/>
    <w:multiLevelType w:val="multilevel"/>
    <w:tmpl w:val="EFD1FB4A"/>
    <w:lvl w:ilvl="0" w:tentative="0">
      <w:start w:val="1"/>
      <w:numFmt w:val="decimal"/>
      <w:pStyle w:val="118"/>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2">
    <w:nsid w:val="02837933"/>
    <w:multiLevelType w:val="multilevel"/>
    <w:tmpl w:val="02837933"/>
    <w:lvl w:ilvl="0" w:tentative="0">
      <w:start w:val="1"/>
      <w:numFmt w:val="decimal"/>
      <w:pStyle w:val="72"/>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5"/>
      <w:suff w:val="nothing"/>
      <w:lvlText w:val="%1%2.%3　"/>
      <w:lvlJc w:val="left"/>
      <w:pPr>
        <w:ind w:left="0" w:firstLine="0"/>
      </w:pPr>
    </w:lvl>
    <w:lvl w:ilvl="3" w:tentative="0">
      <w:start w:val="1"/>
      <w:numFmt w:val="decimal"/>
      <w:pStyle w:val="124"/>
      <w:suff w:val="nothing"/>
      <w:lvlText w:val="%1%2.%3.%4　"/>
      <w:lvlJc w:val="left"/>
      <w:pPr>
        <w:ind w:left="0" w:firstLine="0"/>
      </w:pPr>
    </w:lvl>
    <w:lvl w:ilvl="4" w:tentative="0">
      <w:start w:val="1"/>
      <w:numFmt w:val="decimal"/>
      <w:pStyle w:val="159"/>
      <w:suff w:val="nothing"/>
      <w:lvlText w:val="%1%2.%3.%4.%5　"/>
      <w:lvlJc w:val="left"/>
      <w:pPr>
        <w:ind w:left="0" w:firstLine="0"/>
      </w:pPr>
    </w:lvl>
    <w:lvl w:ilvl="5" w:tentative="0">
      <w:start w:val="1"/>
      <w:numFmt w:val="decimal"/>
      <w:pStyle w:val="161"/>
      <w:suff w:val="nothing"/>
      <w:lvlText w:val="%1%2.%3.%4.%5.%6　"/>
      <w:lvlJc w:val="left"/>
      <w:pPr>
        <w:ind w:left="0" w:firstLine="0"/>
      </w:pPr>
    </w:lvl>
    <w:lvl w:ilvl="6" w:tentative="0">
      <w:start w:val="1"/>
      <w:numFmt w:val="decimal"/>
      <w:pStyle w:val="164"/>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6"/>
      <w:suff w:val="nothing"/>
      <w:lvlText w:val="注%1："/>
      <w:lvlJc w:val="left"/>
      <w:pPr>
        <w:ind w:left="811" w:hanging="448"/>
      </w:pPr>
      <w:rPr>
        <w:rFonts w:hint="default" w:ascii="黑体" w:eastAsia="黑体"/>
        <w:b w:val="0"/>
        <w:i w:val="0"/>
        <w:sz w:val="18"/>
        <w:highlight w:val="none"/>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96"/>
      <w:lvlText w:val="%1"/>
      <w:lvlJc w:val="left"/>
      <w:pPr>
        <w:ind w:left="425" w:hanging="425"/>
      </w:pPr>
      <w:rPr>
        <w:rFonts w:hint="eastAsia"/>
      </w:rPr>
    </w:lvl>
    <w:lvl w:ilvl="1" w:tentative="0">
      <w:start w:val="1"/>
      <w:numFmt w:val="decimal"/>
      <w:pStyle w:val="206"/>
      <w:suff w:val="nothing"/>
      <w:lvlText w:val="%10.%2 "/>
      <w:lvlJc w:val="left"/>
      <w:pPr>
        <w:ind w:left="0" w:firstLine="0"/>
      </w:pPr>
      <w:rPr>
        <w:rFonts w:hint="eastAsia" w:ascii="黑体" w:eastAsia="黑体" w:hAnsiTheme="minorHAnsi"/>
        <w:b w:val="0"/>
        <w:i w:val="0"/>
        <w:sz w:val="21"/>
      </w:rPr>
    </w:lvl>
    <w:lvl w:ilvl="2" w:tentative="0">
      <w:start w:val="1"/>
      <w:numFmt w:val="decimal"/>
      <w:pStyle w:val="207"/>
      <w:suff w:val="nothing"/>
      <w:lvlText w:val="%10.%2.%3 "/>
      <w:lvlJc w:val="left"/>
      <w:pPr>
        <w:ind w:left="0" w:firstLine="0"/>
      </w:pPr>
      <w:rPr>
        <w:rFonts w:hint="eastAsia" w:ascii="黑体" w:eastAsia="黑体" w:hAnsiTheme="minorHAnsi"/>
        <w:b w:val="0"/>
        <w:i w:val="0"/>
        <w:sz w:val="21"/>
      </w:rPr>
    </w:lvl>
    <w:lvl w:ilvl="3" w:tentative="0">
      <w:start w:val="1"/>
      <w:numFmt w:val="decimal"/>
      <w:pStyle w:val="208"/>
      <w:suff w:val="nothing"/>
      <w:lvlText w:val="%10.%2.%3.%4 "/>
      <w:lvlJc w:val="left"/>
      <w:pPr>
        <w:ind w:left="0" w:firstLine="0"/>
      </w:pPr>
      <w:rPr>
        <w:rFonts w:hint="eastAsia" w:ascii="黑体" w:eastAsia="黑体" w:hAnsiTheme="minorHAnsi"/>
        <w:b w:val="0"/>
        <w:i w:val="0"/>
        <w:sz w:val="21"/>
      </w:rPr>
    </w:lvl>
    <w:lvl w:ilvl="4" w:tentative="0">
      <w:start w:val="1"/>
      <w:numFmt w:val="decimal"/>
      <w:pStyle w:val="209"/>
      <w:suff w:val="nothing"/>
      <w:lvlText w:val="%10.%2.%3.%4.%5 "/>
      <w:lvlJc w:val="left"/>
      <w:pPr>
        <w:ind w:left="0" w:firstLine="0"/>
      </w:pPr>
      <w:rPr>
        <w:rFonts w:hint="eastAsia" w:ascii="黑体" w:eastAsia="黑体" w:hAnsiTheme="minorHAnsi"/>
        <w:b w:val="0"/>
        <w:i w:val="0"/>
        <w:sz w:val="21"/>
      </w:rPr>
    </w:lvl>
    <w:lvl w:ilvl="5" w:tentative="0">
      <w:start w:val="1"/>
      <w:numFmt w:val="decimal"/>
      <w:pStyle w:val="210"/>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7">
    <w:nsid w:val="0AE367E9"/>
    <w:multiLevelType w:val="multilevel"/>
    <w:tmpl w:val="0AE367E9"/>
    <w:lvl w:ilvl="0" w:tentative="0">
      <w:start w:val="1"/>
      <w:numFmt w:val="none"/>
      <w:pStyle w:val="187"/>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5"/>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6"/>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93"/>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9"/>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2C5917C3"/>
    <w:multiLevelType w:val="multilevel"/>
    <w:tmpl w:val="2C5917C3"/>
    <w:lvl w:ilvl="0" w:tentative="0">
      <w:start w:val="1"/>
      <w:numFmt w:val="none"/>
      <w:pStyle w:val="138"/>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3"/>
      <w:lvlText w:val=""/>
      <w:lvlJc w:val="left"/>
      <w:pPr>
        <w:ind w:left="851" w:hanging="431"/>
      </w:pPr>
      <w:rPr>
        <w:rFonts w:hint="default" w:ascii="Symbol" w:hAnsi="Symbol"/>
        <w:sz w:val="21"/>
      </w:rPr>
    </w:lvl>
    <w:lvl w:ilvl="2" w:tentative="0">
      <w:start w:val="1"/>
      <w:numFmt w:val="bullet"/>
      <w:pStyle w:val="178"/>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4C50F90"/>
    <w:multiLevelType w:val="multilevel"/>
    <w:tmpl w:val="44C50F90"/>
    <w:lvl w:ilvl="0" w:tentative="0">
      <w:start w:val="1"/>
      <w:numFmt w:val="lowerLetter"/>
      <w:pStyle w:val="180"/>
      <w:lvlText w:val="%1)"/>
      <w:lvlJc w:val="left"/>
      <w:pPr>
        <w:tabs>
          <w:tab w:val="left" w:pos="851"/>
        </w:tabs>
        <w:ind w:left="846" w:hanging="426"/>
      </w:pPr>
      <w:rPr>
        <w:rFonts w:hint="eastAsia" w:ascii="宋体" w:hAnsi="Times New Roman" w:eastAsia="宋体"/>
        <w:sz w:val="21"/>
      </w:rPr>
    </w:lvl>
    <w:lvl w:ilvl="1" w:tentative="0">
      <w:start w:val="1"/>
      <w:numFmt w:val="decimal"/>
      <w:pStyle w:val="115"/>
      <w:lvlText w:val="%2)"/>
      <w:lvlJc w:val="left"/>
      <w:pPr>
        <w:tabs>
          <w:tab w:val="left" w:pos="1276"/>
        </w:tabs>
        <w:ind w:left="1276" w:hanging="425"/>
      </w:pPr>
      <w:rPr>
        <w:rFonts w:hint="eastAsia" w:ascii="宋体" w:hAnsi="Times New Roman" w:eastAsia="宋体"/>
        <w:sz w:val="21"/>
      </w:rPr>
    </w:lvl>
    <w:lvl w:ilvl="2" w:tentative="0">
      <w:start w:val="1"/>
      <w:numFmt w:val="decimal"/>
      <w:pStyle w:val="12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4"/>
      <w:lvlText w:val="%1"/>
      <w:lvlJc w:val="left"/>
      <w:pPr>
        <w:ind w:left="420" w:hanging="420"/>
      </w:pPr>
      <w:rPr>
        <w:rFonts w:hint="eastAsia"/>
      </w:rPr>
    </w:lvl>
    <w:lvl w:ilvl="1" w:tentative="0">
      <w:start w:val="1"/>
      <w:numFmt w:val="decimal"/>
      <w:pStyle w:val="91"/>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9"/>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22"/>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100"/>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20"/>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5"/>
      <w:suff w:val="space"/>
      <w:lvlText w:val="%1"/>
      <w:lvlJc w:val="left"/>
      <w:pPr>
        <w:ind w:left="425" w:hanging="425"/>
      </w:pPr>
      <w:rPr>
        <w:rFonts w:hint="eastAsia"/>
      </w:rPr>
    </w:lvl>
    <w:lvl w:ilvl="1" w:tentative="0">
      <w:start w:val="1"/>
      <w:numFmt w:val="decimal"/>
      <w:pStyle w:val="8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7"/>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44622F9"/>
    <w:multiLevelType w:val="multilevel"/>
    <w:tmpl w:val="644622F9"/>
    <w:lvl w:ilvl="0" w:tentative="0">
      <w:start w:val="1"/>
      <w:numFmt w:val="upp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5">
    <w:nsid w:val="654A26C9"/>
    <w:multiLevelType w:val="multilevel"/>
    <w:tmpl w:val="654A26C9"/>
    <w:lvl w:ilvl="0" w:tentative="0">
      <w:start w:val="1"/>
      <w:numFmt w:val="none"/>
      <w:pStyle w:val="195"/>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4"/>
      <w:suff w:val="nothing"/>
      <w:lvlText w:val="附录%1"/>
      <w:lvlJc w:val="left"/>
      <w:pPr>
        <w:ind w:left="0" w:firstLine="0"/>
      </w:pPr>
      <w:rPr>
        <w:rFonts w:hint="eastAsia"/>
        <w:spacing w:val="100"/>
      </w:rPr>
    </w:lvl>
    <w:lvl w:ilvl="1" w:tentative="0">
      <w:start w:val="1"/>
      <w:numFmt w:val="decimal"/>
      <w:pStyle w:val="86"/>
      <w:suff w:val="nothing"/>
      <w:lvlText w:val="%1.%2　"/>
      <w:lvlJc w:val="left"/>
      <w:pPr>
        <w:ind w:left="0" w:firstLine="0"/>
      </w:pPr>
      <w:rPr>
        <w:rFonts w:hint="eastAsia" w:ascii="黑体" w:eastAsia="黑体"/>
        <w:b w:val="0"/>
        <w:i w:val="0"/>
        <w:sz w:val="21"/>
      </w:rPr>
    </w:lvl>
    <w:lvl w:ilvl="2" w:tentative="0">
      <w:start w:val="1"/>
      <w:numFmt w:val="decimal"/>
      <w:pStyle w:val="87"/>
      <w:suff w:val="nothing"/>
      <w:lvlText w:val="%1.%2.%3　"/>
      <w:lvlJc w:val="left"/>
      <w:pPr>
        <w:ind w:left="0" w:firstLine="0"/>
      </w:pPr>
      <w:rPr>
        <w:rFonts w:hint="eastAsia" w:ascii="黑体" w:eastAsia="黑体"/>
        <w:b w:val="0"/>
        <w:i w:val="0"/>
        <w:sz w:val="21"/>
      </w:rPr>
    </w:lvl>
    <w:lvl w:ilvl="3" w:tentative="0">
      <w:start w:val="1"/>
      <w:numFmt w:val="decimal"/>
      <w:pStyle w:val="89"/>
      <w:suff w:val="nothing"/>
      <w:lvlText w:val="%1.%2.%3.%4　"/>
      <w:lvlJc w:val="left"/>
      <w:pPr>
        <w:ind w:left="0" w:firstLine="0"/>
      </w:pPr>
      <w:rPr>
        <w:rFonts w:hint="eastAsia" w:ascii="黑体" w:eastAsia="黑体"/>
        <w:b w:val="0"/>
        <w:i w:val="0"/>
        <w:sz w:val="21"/>
      </w:rPr>
    </w:lvl>
    <w:lvl w:ilvl="4" w:tentative="0">
      <w:start w:val="1"/>
      <w:numFmt w:val="decimal"/>
      <w:pStyle w:val="90"/>
      <w:suff w:val="nothing"/>
      <w:lvlText w:val="%1.%2.%3.%4.%5　"/>
      <w:lvlJc w:val="left"/>
      <w:pPr>
        <w:ind w:left="0" w:firstLine="0"/>
      </w:pPr>
      <w:rPr>
        <w:rFonts w:hint="eastAsia" w:ascii="黑体" w:eastAsia="黑体"/>
        <w:b w:val="0"/>
        <w:i w:val="0"/>
        <w:sz w:val="21"/>
      </w:rPr>
    </w:lvl>
    <w:lvl w:ilvl="5" w:tentative="0">
      <w:start w:val="1"/>
      <w:numFmt w:val="decimal"/>
      <w:pStyle w:val="92"/>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4"/>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4"/>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8"/>
      <w:suff w:val="nothing"/>
      <w:lvlText w:val="%1"/>
      <w:lvlJc w:val="left"/>
      <w:pPr>
        <w:ind w:left="0" w:firstLine="0"/>
      </w:pPr>
      <w:rPr>
        <w:rFonts w:hint="eastAsia"/>
      </w:rPr>
    </w:lvl>
    <w:lvl w:ilvl="1" w:tentative="0">
      <w:start w:val="1"/>
      <w:numFmt w:val="decimal"/>
      <w:pStyle w:val="110"/>
      <w:suff w:val="nothing"/>
      <w:lvlText w:val="%1%2　"/>
      <w:lvlJc w:val="left"/>
      <w:pPr>
        <w:ind w:left="0" w:firstLine="0"/>
      </w:pPr>
      <w:rPr>
        <w:rFonts w:hint="eastAsia" w:ascii="黑体" w:eastAsia="黑体"/>
        <w:b w:val="0"/>
        <w:i w:val="0"/>
        <w:sz w:val="21"/>
      </w:rPr>
    </w:lvl>
    <w:lvl w:ilvl="2" w:tentative="0">
      <w:start w:val="1"/>
      <w:numFmt w:val="decimal"/>
      <w:pStyle w:val="11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3"/>
      <w:suff w:val="nothing"/>
      <w:lvlText w:val="%1%2.%3.%4　"/>
      <w:lvlJc w:val="left"/>
      <w:pPr>
        <w:ind w:left="0" w:firstLine="0"/>
      </w:pPr>
      <w:rPr>
        <w:rFonts w:hint="eastAsia" w:ascii="黑体" w:eastAsia="黑体"/>
        <w:b w:val="0"/>
        <w:i w:val="0"/>
        <w:sz w:val="21"/>
      </w:rPr>
    </w:lvl>
    <w:lvl w:ilvl="4" w:tentative="0">
      <w:start w:val="1"/>
      <w:numFmt w:val="decimal"/>
      <w:pStyle w:val="101"/>
      <w:suff w:val="nothing"/>
      <w:lvlText w:val="%1%2.%3.%4.%5　"/>
      <w:lvlJc w:val="left"/>
      <w:pPr>
        <w:ind w:left="0" w:firstLine="0"/>
      </w:pPr>
      <w:rPr>
        <w:rFonts w:hint="eastAsia" w:ascii="黑体" w:eastAsia="黑体"/>
        <w:b w:val="0"/>
        <w:i w:val="0"/>
        <w:sz w:val="21"/>
      </w:rPr>
    </w:lvl>
    <w:lvl w:ilvl="5" w:tentative="0">
      <w:start w:val="1"/>
      <w:numFmt w:val="decimal"/>
      <w:pStyle w:val="105"/>
      <w:suff w:val="nothing"/>
      <w:lvlText w:val="%1%2.%3.%4.%5.%6　"/>
      <w:lvlJc w:val="left"/>
      <w:pPr>
        <w:ind w:left="0" w:firstLine="0"/>
      </w:pPr>
      <w:rPr>
        <w:rFonts w:hint="eastAsia" w:ascii="黑体" w:eastAsia="黑体"/>
        <w:b w:val="0"/>
        <w:i w:val="0"/>
        <w:sz w:val="21"/>
      </w:rPr>
    </w:lvl>
    <w:lvl w:ilvl="6" w:tentative="0">
      <w:start w:val="1"/>
      <w:numFmt w:val="decimal"/>
      <w:pStyle w:val="10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21"/>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5"/>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0"/>
  </w:num>
  <w:num w:numId="3">
    <w:abstractNumId w:val="8"/>
  </w:num>
  <w:num w:numId="4">
    <w:abstractNumId w:val="26"/>
  </w:num>
  <w:num w:numId="5">
    <w:abstractNumId w:val="21"/>
  </w:num>
  <w:num w:numId="6">
    <w:abstractNumId w:val="16"/>
  </w:num>
  <w:num w:numId="7">
    <w:abstractNumId w:val="11"/>
  </w:num>
  <w:num w:numId="8">
    <w:abstractNumId w:val="5"/>
  </w:num>
  <w:num w:numId="9">
    <w:abstractNumId w:val="12"/>
  </w:num>
  <w:num w:numId="10">
    <w:abstractNumId w:val="19"/>
  </w:num>
  <w:num w:numId="11">
    <w:abstractNumId w:val="28"/>
  </w:num>
  <w:num w:numId="12">
    <w:abstractNumId w:val="14"/>
  </w:num>
  <w:num w:numId="13">
    <w:abstractNumId w:val="15"/>
  </w:num>
  <w:num w:numId="14">
    <w:abstractNumId w:val="10"/>
  </w:num>
  <w:num w:numId="15">
    <w:abstractNumId w:val="22"/>
  </w:num>
  <w:num w:numId="16">
    <w:abstractNumId w:val="1"/>
  </w:num>
  <w:num w:numId="17">
    <w:abstractNumId w:val="20"/>
  </w:num>
  <w:num w:numId="18">
    <w:abstractNumId w:val="32"/>
  </w:num>
  <w:num w:numId="19">
    <w:abstractNumId w:val="18"/>
  </w:num>
  <w:num w:numId="20">
    <w:abstractNumId w:val="3"/>
  </w:num>
  <w:num w:numId="21">
    <w:abstractNumId w:val="13"/>
  </w:num>
  <w:num w:numId="22">
    <w:abstractNumId w:val="33"/>
  </w:num>
  <w:num w:numId="23">
    <w:abstractNumId w:val="24"/>
  </w:num>
  <w:num w:numId="24">
    <w:abstractNumId w:val="9"/>
  </w:num>
  <w:num w:numId="25">
    <w:abstractNumId w:val="29"/>
  </w:num>
  <w:num w:numId="26">
    <w:abstractNumId w:val="31"/>
  </w:num>
  <w:num w:numId="27">
    <w:abstractNumId w:val="4"/>
  </w:num>
  <w:num w:numId="28">
    <w:abstractNumId w:val="7"/>
  </w:num>
  <w:num w:numId="29">
    <w:abstractNumId w:val="17"/>
  </w:num>
  <w:num w:numId="30">
    <w:abstractNumId w:val="27"/>
  </w:num>
  <w:num w:numId="31">
    <w:abstractNumId w:val="25"/>
  </w:num>
  <w:num w:numId="32">
    <w:abstractNumId w:val="23"/>
  </w:num>
  <w:num w:numId="33">
    <w:abstractNumId w:val="6"/>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9B0"/>
    <w:rsid w:val="000C2FA7"/>
    <w:rsid w:val="001371A3"/>
    <w:rsid w:val="001942D9"/>
    <w:rsid w:val="002A5176"/>
    <w:rsid w:val="00365049"/>
    <w:rsid w:val="003E43B2"/>
    <w:rsid w:val="003E6FFE"/>
    <w:rsid w:val="00421A31"/>
    <w:rsid w:val="0043101A"/>
    <w:rsid w:val="004A00E7"/>
    <w:rsid w:val="00525651"/>
    <w:rsid w:val="00583ACA"/>
    <w:rsid w:val="00605E59"/>
    <w:rsid w:val="0066295E"/>
    <w:rsid w:val="006A0CDB"/>
    <w:rsid w:val="007346B7"/>
    <w:rsid w:val="007569B0"/>
    <w:rsid w:val="007B1F6E"/>
    <w:rsid w:val="007B3C0F"/>
    <w:rsid w:val="007D45BA"/>
    <w:rsid w:val="00840F25"/>
    <w:rsid w:val="00A00453"/>
    <w:rsid w:val="00B57CB8"/>
    <w:rsid w:val="00CD7F24"/>
    <w:rsid w:val="00D62FFE"/>
    <w:rsid w:val="00DF1EB0"/>
    <w:rsid w:val="00E45EB0"/>
    <w:rsid w:val="00E731BD"/>
    <w:rsid w:val="00EB0D22"/>
    <w:rsid w:val="00F157C6"/>
    <w:rsid w:val="018A40AE"/>
    <w:rsid w:val="0405748B"/>
    <w:rsid w:val="05A827C4"/>
    <w:rsid w:val="0E3178C0"/>
    <w:rsid w:val="0E430DBC"/>
    <w:rsid w:val="11200EA0"/>
    <w:rsid w:val="159F3965"/>
    <w:rsid w:val="16E8490E"/>
    <w:rsid w:val="171934D9"/>
    <w:rsid w:val="188A5FD1"/>
    <w:rsid w:val="1AB14821"/>
    <w:rsid w:val="1B4D19EC"/>
    <w:rsid w:val="217E28FF"/>
    <w:rsid w:val="254F2A91"/>
    <w:rsid w:val="29953E3F"/>
    <w:rsid w:val="29DE25C2"/>
    <w:rsid w:val="2F7365E8"/>
    <w:rsid w:val="30CC588E"/>
    <w:rsid w:val="331D055A"/>
    <w:rsid w:val="33752FB7"/>
    <w:rsid w:val="36A16BF1"/>
    <w:rsid w:val="377E7E1B"/>
    <w:rsid w:val="37FE6D7E"/>
    <w:rsid w:val="385D0078"/>
    <w:rsid w:val="3DD96FC7"/>
    <w:rsid w:val="3E4C02B0"/>
    <w:rsid w:val="3E6676EB"/>
    <w:rsid w:val="3F0B0EEA"/>
    <w:rsid w:val="3F4411F0"/>
    <w:rsid w:val="40D11219"/>
    <w:rsid w:val="41333CE8"/>
    <w:rsid w:val="46E254CF"/>
    <w:rsid w:val="4B5A21AD"/>
    <w:rsid w:val="56A476EB"/>
    <w:rsid w:val="580B1C27"/>
    <w:rsid w:val="59941C12"/>
    <w:rsid w:val="5D057558"/>
    <w:rsid w:val="60235D47"/>
    <w:rsid w:val="602D1CD2"/>
    <w:rsid w:val="61743077"/>
    <w:rsid w:val="624A2447"/>
    <w:rsid w:val="64550596"/>
    <w:rsid w:val="676220C9"/>
    <w:rsid w:val="6BEC3A87"/>
    <w:rsid w:val="6CEC7296"/>
    <w:rsid w:val="6DDC72CD"/>
    <w:rsid w:val="7282509E"/>
    <w:rsid w:val="73F47FAE"/>
    <w:rsid w:val="76A2193D"/>
    <w:rsid w:val="77C32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name="toc 8"/>
    <w:lsdException w:uiPriority="39"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47"/>
    <w:autoRedefine/>
    <w:unhideWhenUsed/>
    <w:qFormat/>
    <w:uiPriority w:val="99"/>
    <w:pPr>
      <w:jc w:val="left"/>
    </w:pPr>
  </w:style>
  <w:style w:type="paragraph" w:styleId="14">
    <w:name w:val="Body Text"/>
    <w:basedOn w:val="1"/>
    <w:link w:val="48"/>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50"/>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51"/>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52"/>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3"/>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54"/>
    <w:autoRedefine/>
    <w:unhideWhenUsed/>
    <w:qFormat/>
    <w:uiPriority w:val="99"/>
    <w:rPr>
      <w:b/>
      <w:bCs/>
    </w:rPr>
  </w:style>
  <w:style w:type="table" w:styleId="30">
    <w:name w:val="Table Grid"/>
    <w:basedOn w:val="29"/>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basedOn w:val="31"/>
    <w:link w:val="2"/>
    <w:qFormat/>
    <w:uiPriority w:val="9"/>
    <w:rPr>
      <w:rFonts w:ascii="Calibri" w:hAnsi="Calibri" w:eastAsia="宋体" w:cs="Times New Roman"/>
      <w:b/>
      <w:bCs/>
      <w:kern w:val="44"/>
      <w:sz w:val="44"/>
      <w:szCs w:val="44"/>
    </w:rPr>
  </w:style>
  <w:style w:type="character" w:customStyle="1" w:styleId="39">
    <w:name w:val="标题 2 字符"/>
    <w:basedOn w:val="31"/>
    <w:link w:val="3"/>
    <w:qFormat/>
    <w:uiPriority w:val="0"/>
    <w:rPr>
      <w:rFonts w:ascii="Arial" w:hAnsi="Arial" w:eastAsia="黑体" w:cs="Times New Roman"/>
      <w:b/>
      <w:bCs/>
      <w:sz w:val="32"/>
      <w:szCs w:val="32"/>
    </w:rPr>
  </w:style>
  <w:style w:type="character" w:customStyle="1" w:styleId="40">
    <w:name w:val="标题 3 字符"/>
    <w:basedOn w:val="31"/>
    <w:link w:val="4"/>
    <w:qFormat/>
    <w:uiPriority w:val="0"/>
    <w:rPr>
      <w:rFonts w:ascii="Calibri" w:hAnsi="Calibri" w:eastAsia="宋体" w:cs="Times New Roman"/>
      <w:b/>
      <w:bCs/>
      <w:sz w:val="32"/>
      <w:szCs w:val="32"/>
    </w:rPr>
  </w:style>
  <w:style w:type="character" w:customStyle="1" w:styleId="41">
    <w:name w:val="标题 4 字符"/>
    <w:basedOn w:val="31"/>
    <w:link w:val="5"/>
    <w:qFormat/>
    <w:uiPriority w:val="9"/>
    <w:rPr>
      <w:rFonts w:ascii="Arial" w:hAnsi="Arial" w:eastAsia="黑体" w:cs="Times New Roman"/>
      <w:b/>
      <w:bCs/>
      <w:sz w:val="28"/>
      <w:szCs w:val="28"/>
    </w:rPr>
  </w:style>
  <w:style w:type="character" w:customStyle="1" w:styleId="42">
    <w:name w:val="标题 5 字符"/>
    <w:basedOn w:val="31"/>
    <w:link w:val="6"/>
    <w:qFormat/>
    <w:uiPriority w:val="0"/>
    <w:rPr>
      <w:rFonts w:ascii="Calibri" w:hAnsi="Calibri" w:eastAsia="宋体" w:cs="Times New Roman"/>
      <w:b/>
      <w:bCs/>
      <w:sz w:val="28"/>
      <w:szCs w:val="28"/>
    </w:rPr>
  </w:style>
  <w:style w:type="character" w:customStyle="1" w:styleId="43">
    <w:name w:val="标题 6 字符"/>
    <w:basedOn w:val="31"/>
    <w:link w:val="7"/>
    <w:qFormat/>
    <w:uiPriority w:val="0"/>
    <w:rPr>
      <w:rFonts w:ascii="Arial" w:hAnsi="Arial" w:eastAsia="黑体" w:cs="Times New Roman"/>
      <w:b/>
      <w:bCs/>
      <w:sz w:val="24"/>
      <w:szCs w:val="24"/>
    </w:rPr>
  </w:style>
  <w:style w:type="character" w:customStyle="1" w:styleId="44">
    <w:name w:val="标题 7 字符"/>
    <w:basedOn w:val="31"/>
    <w:link w:val="8"/>
    <w:qFormat/>
    <w:uiPriority w:val="0"/>
    <w:rPr>
      <w:rFonts w:ascii="Calibri" w:hAnsi="Calibri" w:eastAsia="宋体" w:cs="Times New Roman"/>
      <w:b/>
      <w:bCs/>
      <w:sz w:val="24"/>
      <w:szCs w:val="24"/>
    </w:rPr>
  </w:style>
  <w:style w:type="character" w:customStyle="1" w:styleId="45">
    <w:name w:val="标题 8 字符"/>
    <w:basedOn w:val="31"/>
    <w:link w:val="9"/>
    <w:qFormat/>
    <w:uiPriority w:val="0"/>
    <w:rPr>
      <w:rFonts w:ascii="Arial" w:hAnsi="Arial" w:eastAsia="黑体" w:cs="Times New Roman"/>
      <w:sz w:val="24"/>
      <w:szCs w:val="24"/>
    </w:rPr>
  </w:style>
  <w:style w:type="character" w:customStyle="1" w:styleId="46">
    <w:name w:val="标题 9 字符"/>
    <w:basedOn w:val="31"/>
    <w:link w:val="10"/>
    <w:qFormat/>
    <w:uiPriority w:val="0"/>
    <w:rPr>
      <w:rFonts w:ascii="Arial" w:hAnsi="Arial" w:eastAsia="黑体" w:cs="Times New Roman"/>
      <w:szCs w:val="21"/>
    </w:rPr>
  </w:style>
  <w:style w:type="character" w:customStyle="1" w:styleId="47">
    <w:name w:val="批注文字 字符"/>
    <w:basedOn w:val="31"/>
    <w:link w:val="13"/>
    <w:qFormat/>
    <w:uiPriority w:val="99"/>
    <w:rPr>
      <w:rFonts w:ascii="Calibri" w:hAnsi="Calibri" w:eastAsia="宋体" w:cs="Times New Roman"/>
      <w:szCs w:val="21"/>
    </w:rPr>
  </w:style>
  <w:style w:type="character" w:customStyle="1" w:styleId="48">
    <w:name w:val="正文文本 字符"/>
    <w:basedOn w:val="31"/>
    <w:link w:val="14"/>
    <w:qFormat/>
    <w:uiPriority w:val="0"/>
    <w:rPr>
      <w:rFonts w:ascii="Calibri" w:hAnsi="Calibri" w:eastAsia="宋体" w:cs="Times New Roman"/>
      <w:szCs w:val="21"/>
    </w:rPr>
  </w:style>
  <w:style w:type="character" w:customStyle="1" w:styleId="49">
    <w:name w:val="批注框文本 字符"/>
    <w:basedOn w:val="31"/>
    <w:link w:val="17"/>
    <w:qFormat/>
    <w:uiPriority w:val="99"/>
    <w:rPr>
      <w:rFonts w:ascii="Calibri" w:hAnsi="Calibri" w:eastAsia="宋体" w:cs="Times New Roman"/>
      <w:sz w:val="18"/>
      <w:szCs w:val="18"/>
    </w:rPr>
  </w:style>
  <w:style w:type="character" w:customStyle="1" w:styleId="50">
    <w:name w:val="页脚 字符"/>
    <w:basedOn w:val="31"/>
    <w:link w:val="18"/>
    <w:qFormat/>
    <w:uiPriority w:val="99"/>
    <w:rPr>
      <w:rFonts w:ascii="宋体" w:hAnsi="Calibri" w:eastAsia="宋体" w:cs="Times New Roman"/>
      <w:sz w:val="18"/>
      <w:szCs w:val="18"/>
    </w:rPr>
  </w:style>
  <w:style w:type="character" w:customStyle="1" w:styleId="51">
    <w:name w:val="页眉 字符"/>
    <w:basedOn w:val="31"/>
    <w:link w:val="19"/>
    <w:qFormat/>
    <w:uiPriority w:val="99"/>
    <w:rPr>
      <w:rFonts w:ascii="Calibri" w:hAnsi="Calibri" w:eastAsia="宋体" w:cs="Times New Roman"/>
      <w:sz w:val="18"/>
      <w:szCs w:val="18"/>
    </w:rPr>
  </w:style>
  <w:style w:type="character" w:customStyle="1" w:styleId="52">
    <w:name w:val="脚注文本 字符"/>
    <w:basedOn w:val="31"/>
    <w:link w:val="22"/>
    <w:semiHidden/>
    <w:qFormat/>
    <w:uiPriority w:val="0"/>
    <w:rPr>
      <w:rFonts w:ascii="宋体" w:hAnsi="Calibri" w:eastAsia="宋体" w:cs="Times New Roman"/>
      <w:sz w:val="18"/>
      <w:szCs w:val="18"/>
    </w:rPr>
  </w:style>
  <w:style w:type="character" w:customStyle="1" w:styleId="53">
    <w:name w:val="标题 字符"/>
    <w:basedOn w:val="31"/>
    <w:link w:val="27"/>
    <w:qFormat/>
    <w:uiPriority w:val="0"/>
    <w:rPr>
      <w:rFonts w:ascii="Arial" w:hAnsi="Arial" w:eastAsia="宋体" w:cs="Arial"/>
      <w:b/>
      <w:bCs/>
      <w:sz w:val="32"/>
      <w:szCs w:val="32"/>
    </w:rPr>
  </w:style>
  <w:style w:type="character" w:customStyle="1" w:styleId="54">
    <w:name w:val="批注主题 字符"/>
    <w:basedOn w:val="47"/>
    <w:link w:val="28"/>
    <w:qFormat/>
    <w:uiPriority w:val="99"/>
    <w:rPr>
      <w:rFonts w:ascii="Calibri" w:hAnsi="Calibri" w:eastAsia="宋体" w:cs="Times New Roman"/>
      <w:b/>
      <w:bCs/>
      <w:szCs w:val="21"/>
    </w:rPr>
  </w:style>
  <w:style w:type="paragraph" w:customStyle="1" w:styleId="55">
    <w:name w:val="引用1"/>
    <w:basedOn w:val="1"/>
    <w:next w:val="1"/>
    <w:link w:val="56"/>
    <w:autoRedefine/>
    <w:qFormat/>
    <w:uiPriority w:val="29"/>
    <w:rPr>
      <w:i/>
      <w:iCs/>
      <w:color w:val="000000"/>
    </w:rPr>
  </w:style>
  <w:style w:type="character" w:customStyle="1" w:styleId="56">
    <w:name w:val="引用 字符"/>
    <w:link w:val="55"/>
    <w:autoRedefine/>
    <w:qFormat/>
    <w:uiPriority w:val="29"/>
    <w:rPr>
      <w:rFonts w:ascii="Calibri" w:hAnsi="Calibri" w:eastAsia="宋体" w:cs="Times New Roman"/>
      <w:i/>
      <w:iCs/>
      <w:color w:val="000000"/>
      <w:szCs w:val="21"/>
    </w:rPr>
  </w:style>
  <w:style w:type="paragraph" w:customStyle="1" w:styleId="57">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8">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9">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60">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1">
    <w:name w:val="标准书眉一"/>
    <w:autoRedefine/>
    <w:qFormat/>
    <w:uiPriority w:val="0"/>
    <w:pPr>
      <w:jc w:val="both"/>
    </w:pPr>
    <w:rPr>
      <w:rFonts w:ascii="Times New Roman" w:hAnsi="Times New Roman" w:eastAsia="宋体" w:cs="Times New Roman"/>
      <w:lang w:val="en-US" w:eastAsia="zh-CN" w:bidi="ar-SA"/>
    </w:rPr>
  </w:style>
  <w:style w:type="paragraph" w:customStyle="1" w:styleId="62">
    <w:name w:val="标准文件_ICS"/>
    <w:basedOn w:val="1"/>
    <w:autoRedefine/>
    <w:qFormat/>
    <w:uiPriority w:val="0"/>
    <w:pPr>
      <w:spacing w:line="0" w:lineRule="atLeast"/>
    </w:pPr>
    <w:rPr>
      <w:rFonts w:ascii="黑体" w:hAnsi="宋体" w:eastAsia="黑体"/>
    </w:rPr>
  </w:style>
  <w:style w:type="paragraph" w:customStyle="1" w:styleId="63">
    <w:name w:val="标准文件_标准正文"/>
    <w:basedOn w:val="1"/>
    <w:next w:val="64"/>
    <w:autoRedefine/>
    <w:qFormat/>
    <w:uiPriority w:val="0"/>
    <w:pPr>
      <w:snapToGrid w:val="0"/>
      <w:ind w:firstLine="200" w:firstLineChars="200"/>
    </w:pPr>
    <w:rPr>
      <w:kern w:val="0"/>
    </w:rPr>
  </w:style>
  <w:style w:type="paragraph" w:customStyle="1" w:styleId="64">
    <w:name w:val="标准文件_段"/>
    <w:link w:val="190"/>
    <w:autoRedefine/>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65">
    <w:name w:val="标准文件_版本"/>
    <w:basedOn w:val="63"/>
    <w:autoRedefine/>
    <w:qFormat/>
    <w:uiPriority w:val="0"/>
    <w:pPr>
      <w:adjustRightInd/>
      <w:snapToGrid/>
      <w:ind w:firstLine="0" w:firstLineChars="0"/>
    </w:pPr>
    <w:rPr>
      <w:rFonts w:ascii="宋体" w:hAnsi="宋体"/>
      <w:kern w:val="2"/>
    </w:rPr>
  </w:style>
  <w:style w:type="paragraph" w:customStyle="1" w:styleId="66">
    <w:name w:val="标准文件_标准部门"/>
    <w:basedOn w:val="1"/>
    <w:autoRedefine/>
    <w:qFormat/>
    <w:uiPriority w:val="0"/>
    <w:pPr>
      <w:jc w:val="center"/>
    </w:pPr>
    <w:rPr>
      <w:rFonts w:ascii="黑体" w:eastAsia="黑体"/>
      <w:kern w:val="0"/>
      <w:sz w:val="44"/>
    </w:rPr>
  </w:style>
  <w:style w:type="paragraph" w:customStyle="1" w:styleId="67">
    <w:name w:val="标准文件_标准代替"/>
    <w:basedOn w:val="1"/>
    <w:next w:val="1"/>
    <w:autoRedefine/>
    <w:qFormat/>
    <w:uiPriority w:val="0"/>
    <w:pPr>
      <w:spacing w:line="310" w:lineRule="exact"/>
      <w:jc w:val="right"/>
    </w:pPr>
    <w:rPr>
      <w:rFonts w:ascii="宋体" w:hAnsi="宋体"/>
      <w:kern w:val="0"/>
    </w:rPr>
  </w:style>
  <w:style w:type="paragraph" w:customStyle="1" w:styleId="68">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9">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0">
    <w:name w:val="标准文件_页眉偶数页"/>
    <w:basedOn w:val="69"/>
    <w:next w:val="1"/>
    <w:autoRedefine/>
    <w:qFormat/>
    <w:uiPriority w:val="0"/>
    <w:pPr>
      <w:jc w:val="left"/>
    </w:pPr>
  </w:style>
  <w:style w:type="paragraph" w:customStyle="1" w:styleId="71">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72">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3">
    <w:name w:val="标准文件_二级条标题"/>
    <w:next w:val="64"/>
    <w:link w:val="247"/>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4">
    <w:name w:val="标准文件_发布"/>
    <w:autoRedefine/>
    <w:qFormat/>
    <w:uiPriority w:val="0"/>
    <w:rPr>
      <w:rFonts w:ascii="黑体" w:eastAsia="黑体"/>
      <w:spacing w:val="0"/>
      <w:w w:val="100"/>
      <w:position w:val="3"/>
      <w:sz w:val="28"/>
    </w:rPr>
  </w:style>
  <w:style w:type="paragraph" w:customStyle="1" w:styleId="75">
    <w:name w:val="标准文件_方框数字列项"/>
    <w:basedOn w:val="64"/>
    <w:autoRedefine/>
    <w:qFormat/>
    <w:uiPriority w:val="0"/>
    <w:pPr>
      <w:numPr>
        <w:ilvl w:val="0"/>
        <w:numId w:val="3"/>
      </w:numPr>
      <w:ind w:firstLine="0" w:firstLineChars="0"/>
    </w:pPr>
  </w:style>
  <w:style w:type="paragraph" w:customStyle="1" w:styleId="76">
    <w:name w:val="标准文件_封面标准编号"/>
    <w:basedOn w:val="1"/>
    <w:next w:val="67"/>
    <w:autoRedefine/>
    <w:qFormat/>
    <w:uiPriority w:val="0"/>
    <w:pPr>
      <w:spacing w:line="310" w:lineRule="exact"/>
      <w:jc w:val="right"/>
    </w:pPr>
    <w:rPr>
      <w:rFonts w:ascii="黑体" w:eastAsia="黑体"/>
      <w:kern w:val="0"/>
      <w:sz w:val="28"/>
    </w:rPr>
  </w:style>
  <w:style w:type="paragraph" w:customStyle="1" w:styleId="77">
    <w:name w:val="标准文件_封面标准分类号"/>
    <w:basedOn w:val="1"/>
    <w:autoRedefine/>
    <w:qFormat/>
    <w:uiPriority w:val="0"/>
    <w:rPr>
      <w:rFonts w:ascii="黑体" w:eastAsia="黑体"/>
      <w:b/>
      <w:kern w:val="0"/>
      <w:sz w:val="28"/>
    </w:rPr>
  </w:style>
  <w:style w:type="paragraph" w:customStyle="1" w:styleId="78">
    <w:name w:val="标准文件_封面标准名称"/>
    <w:basedOn w:val="1"/>
    <w:autoRedefine/>
    <w:qFormat/>
    <w:uiPriority w:val="0"/>
    <w:pPr>
      <w:spacing w:line="240" w:lineRule="auto"/>
      <w:jc w:val="center"/>
    </w:pPr>
    <w:rPr>
      <w:rFonts w:ascii="黑体" w:eastAsia="黑体"/>
      <w:kern w:val="0"/>
      <w:sz w:val="52"/>
    </w:rPr>
  </w:style>
  <w:style w:type="paragraph" w:customStyle="1" w:styleId="79">
    <w:name w:val="标准文件_封面标准英文名称"/>
    <w:basedOn w:val="1"/>
    <w:autoRedefine/>
    <w:qFormat/>
    <w:uiPriority w:val="0"/>
    <w:pPr>
      <w:spacing w:line="240" w:lineRule="auto"/>
      <w:jc w:val="center"/>
    </w:pPr>
    <w:rPr>
      <w:rFonts w:ascii="黑体" w:eastAsia="黑体"/>
      <w:b/>
      <w:sz w:val="28"/>
    </w:rPr>
  </w:style>
  <w:style w:type="paragraph" w:customStyle="1" w:styleId="80">
    <w:name w:val="标准文件_封面发布日期"/>
    <w:basedOn w:val="1"/>
    <w:autoRedefine/>
    <w:qFormat/>
    <w:uiPriority w:val="0"/>
    <w:pPr>
      <w:spacing w:line="310" w:lineRule="exact"/>
    </w:pPr>
    <w:rPr>
      <w:rFonts w:ascii="黑体" w:eastAsia="黑体"/>
      <w:kern w:val="0"/>
      <w:sz w:val="28"/>
    </w:rPr>
  </w:style>
  <w:style w:type="paragraph" w:customStyle="1" w:styleId="81">
    <w:name w:val="标准文件_封面密级"/>
    <w:basedOn w:val="1"/>
    <w:autoRedefine/>
    <w:qFormat/>
    <w:uiPriority w:val="0"/>
    <w:rPr>
      <w:rFonts w:eastAsia="黑体"/>
      <w:sz w:val="32"/>
    </w:rPr>
  </w:style>
  <w:style w:type="paragraph" w:customStyle="1" w:styleId="82">
    <w:name w:val="标准文件_封面实施日期"/>
    <w:basedOn w:val="1"/>
    <w:autoRedefine/>
    <w:qFormat/>
    <w:uiPriority w:val="0"/>
    <w:pPr>
      <w:spacing w:line="310" w:lineRule="exact"/>
      <w:jc w:val="right"/>
    </w:pPr>
    <w:rPr>
      <w:rFonts w:ascii="黑体" w:eastAsia="黑体"/>
      <w:sz w:val="28"/>
    </w:rPr>
  </w:style>
  <w:style w:type="paragraph" w:customStyle="1" w:styleId="83">
    <w:name w:val="标准文件_封面抬头"/>
    <w:basedOn w:val="64"/>
    <w:autoRedefine/>
    <w:qFormat/>
    <w:uiPriority w:val="0"/>
    <w:pPr>
      <w:adjustRightInd w:val="0"/>
      <w:spacing w:line="800" w:lineRule="exact"/>
      <w:ind w:firstLine="0" w:firstLineChars="0"/>
      <w:jc w:val="distribute"/>
    </w:pPr>
    <w:rPr>
      <w:rFonts w:ascii="黑体" w:eastAsia="黑体"/>
      <w:b/>
      <w:sz w:val="64"/>
    </w:rPr>
  </w:style>
  <w:style w:type="paragraph" w:customStyle="1" w:styleId="84">
    <w:name w:val="标准文件_附录标识"/>
    <w:next w:val="64"/>
    <w:link w:val="29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5">
    <w:name w:val="标准文件_附录表标题"/>
    <w:next w:val="64"/>
    <w:link w:val="291"/>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6">
    <w:name w:val="标准文件_附录一级条标题"/>
    <w:next w:val="64"/>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7">
    <w:name w:val="标准文件_附录二级条标题"/>
    <w:basedOn w:val="86"/>
    <w:next w:val="64"/>
    <w:autoRedefine/>
    <w:qFormat/>
    <w:uiPriority w:val="0"/>
    <w:pPr>
      <w:widowControl/>
      <w:numPr>
        <w:ilvl w:val="2"/>
      </w:numPr>
      <w:wordWrap w:val="0"/>
      <w:overflowPunct w:val="0"/>
      <w:autoSpaceDE w:val="0"/>
      <w:autoSpaceDN w:val="0"/>
      <w:textAlignment w:val="baseline"/>
      <w:outlineLvl w:val="3"/>
    </w:pPr>
  </w:style>
  <w:style w:type="paragraph" w:customStyle="1" w:styleId="88">
    <w:name w:val="标准文件_附录公式"/>
    <w:basedOn w:val="63"/>
    <w:next w:val="63"/>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9">
    <w:name w:val="标准文件_附录三级条标题"/>
    <w:next w:val="64"/>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0">
    <w:name w:val="标准文件_附录四级条标题"/>
    <w:next w:val="64"/>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1">
    <w:name w:val="标准文件_附录图标题"/>
    <w:next w:val="64"/>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2">
    <w:name w:val="标准文件_附录五级条标题"/>
    <w:next w:val="64"/>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3">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4">
    <w:name w:val="标准文件_附录章标题"/>
    <w:next w:val="64"/>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标准文件_公式后的破折号"/>
    <w:basedOn w:val="64"/>
    <w:next w:val="64"/>
    <w:autoRedefine/>
    <w:qFormat/>
    <w:uiPriority w:val="0"/>
    <w:pPr>
      <w:ind w:left="488" w:leftChars="200" w:hanging="289" w:hangingChars="290"/>
    </w:pPr>
  </w:style>
  <w:style w:type="paragraph" w:customStyle="1" w:styleId="96">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7">
    <w:name w:val="标准文件_目次、标准名称标题"/>
    <w:basedOn w:val="96"/>
    <w:next w:val="64"/>
    <w:link w:val="248"/>
    <w:autoRedefine/>
    <w:qFormat/>
    <w:uiPriority w:val="0"/>
    <w:pPr>
      <w:spacing w:line="460" w:lineRule="exact"/>
    </w:pPr>
  </w:style>
  <w:style w:type="paragraph" w:customStyle="1" w:styleId="98">
    <w:name w:val="标准文件_目录标题"/>
    <w:basedOn w:val="1"/>
    <w:autoRedefine/>
    <w:qFormat/>
    <w:uiPriority w:val="0"/>
    <w:pPr>
      <w:spacing w:afterLines="150" w:line="240" w:lineRule="auto"/>
      <w:jc w:val="center"/>
    </w:pPr>
    <w:rPr>
      <w:rFonts w:ascii="黑体" w:eastAsia="黑体"/>
      <w:sz w:val="32"/>
    </w:rPr>
  </w:style>
  <w:style w:type="paragraph" w:customStyle="1" w:styleId="99">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0">
    <w:name w:val="标准文件_破折号列项（二级）"/>
    <w:basedOn w:val="99"/>
    <w:autoRedefine/>
    <w:qFormat/>
    <w:uiPriority w:val="0"/>
    <w:pPr>
      <w:numPr>
        <w:numId w:val="10"/>
      </w:numPr>
      <w:ind w:left="0" w:firstLine="200"/>
    </w:pPr>
  </w:style>
  <w:style w:type="paragraph" w:customStyle="1" w:styleId="101">
    <w:name w:val="标准文件_三级条标题"/>
    <w:basedOn w:val="73"/>
    <w:next w:val="64"/>
    <w:link w:val="250"/>
    <w:autoRedefine/>
    <w:qFormat/>
    <w:uiPriority w:val="0"/>
    <w:pPr>
      <w:widowControl/>
      <w:numPr>
        <w:ilvl w:val="4"/>
      </w:numPr>
      <w:spacing w:before="120" w:after="120"/>
      <w:outlineLvl w:val="3"/>
    </w:pPr>
  </w:style>
  <w:style w:type="character" w:customStyle="1" w:styleId="102">
    <w:name w:val="不明显参考1"/>
    <w:autoRedefine/>
    <w:qFormat/>
    <w:uiPriority w:val="31"/>
    <w:rPr>
      <w:smallCaps/>
      <w:color w:val="C0504D"/>
      <w:u w:val="single"/>
    </w:rPr>
  </w:style>
  <w:style w:type="paragraph" w:customStyle="1" w:styleId="103">
    <w:name w:val="标准文件_示例后续"/>
    <w:basedOn w:val="1"/>
    <w:autoRedefine/>
    <w:qFormat/>
    <w:uiPriority w:val="0"/>
    <w:pPr>
      <w:adjustRightInd/>
      <w:spacing w:line="240" w:lineRule="auto"/>
      <w:ind w:firstLine="200" w:firstLineChars="200"/>
    </w:pPr>
    <w:rPr>
      <w:sz w:val="18"/>
      <w:szCs w:val="24"/>
    </w:rPr>
  </w:style>
  <w:style w:type="paragraph" w:customStyle="1" w:styleId="104">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5">
    <w:name w:val="标准文件_四级条标题"/>
    <w:next w:val="64"/>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paragraph" w:customStyle="1" w:styleId="106">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7">
    <w:name w:val="标准文件_图表脚注"/>
    <w:basedOn w:val="1"/>
    <w:next w:val="64"/>
    <w:link w:val="258"/>
    <w:autoRedefine/>
    <w:qFormat/>
    <w:uiPriority w:val="0"/>
    <w:pPr>
      <w:numPr>
        <w:ilvl w:val="0"/>
        <w:numId w:val="12"/>
      </w:numPr>
      <w:spacing w:line="240" w:lineRule="auto"/>
      <w:jc w:val="left"/>
    </w:pPr>
    <w:rPr>
      <w:rFonts w:ascii="宋体" w:hAnsi="宋体"/>
      <w:sz w:val="18"/>
    </w:rPr>
  </w:style>
  <w:style w:type="character" w:customStyle="1" w:styleId="108">
    <w:name w:val="标准文件_图表脚注内容"/>
    <w:autoRedefine/>
    <w:qFormat/>
    <w:uiPriority w:val="0"/>
    <w:rPr>
      <w:rFonts w:ascii="宋体" w:hAnsi="宋体" w:eastAsia="宋体" w:cs="Times New Roman"/>
      <w:spacing w:val="0"/>
      <w:sz w:val="18"/>
      <w:vertAlign w:val="superscript"/>
    </w:rPr>
  </w:style>
  <w:style w:type="paragraph" w:customStyle="1" w:styleId="109">
    <w:name w:val="标准文件_五级条标题"/>
    <w:next w:val="64"/>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10">
    <w:name w:val="标准文件_章标题"/>
    <w:next w:val="64"/>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11">
    <w:name w:val="标准文件_一级条标题"/>
    <w:basedOn w:val="110"/>
    <w:next w:val="64"/>
    <w:link w:val="251"/>
    <w:autoRedefine/>
    <w:qFormat/>
    <w:uiPriority w:val="0"/>
    <w:pPr>
      <w:numPr>
        <w:ilvl w:val="2"/>
      </w:numPr>
      <w:spacing w:beforeLines="50" w:afterLines="50"/>
      <w:outlineLvl w:val="1"/>
    </w:pPr>
  </w:style>
  <w:style w:type="paragraph" w:customStyle="1" w:styleId="112">
    <w:name w:val="标准文件_一致程度"/>
    <w:basedOn w:val="1"/>
    <w:link w:val="252"/>
    <w:autoRedefine/>
    <w:qFormat/>
    <w:uiPriority w:val="0"/>
    <w:pPr>
      <w:spacing w:line="440" w:lineRule="exact"/>
      <w:jc w:val="center"/>
    </w:pPr>
    <w:rPr>
      <w:sz w:val="28"/>
    </w:rPr>
  </w:style>
  <w:style w:type="paragraph" w:customStyle="1" w:styleId="113">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4">
    <w:name w:val="标准文件_英文图表脚注"/>
    <w:basedOn w:val="63"/>
    <w:link w:val="253"/>
    <w:autoRedefine/>
    <w:qFormat/>
    <w:uiPriority w:val="0"/>
    <w:pPr>
      <w:widowControl/>
      <w:adjustRightInd/>
      <w:snapToGrid/>
      <w:spacing w:line="240" w:lineRule="auto"/>
      <w:ind w:left="79" w:hanging="79" w:hangingChars="80"/>
    </w:pPr>
    <w:rPr>
      <w:rFonts w:ascii="宋体" w:hAnsi="宋体"/>
    </w:rPr>
  </w:style>
  <w:style w:type="paragraph" w:customStyle="1" w:styleId="115">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6">
    <w:name w:val="标准文件_英文注："/>
    <w:basedOn w:val="1"/>
    <w:next w:val="64"/>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7">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8">
    <w:name w:val="标准文件_正文表标题"/>
    <w:next w:val="64"/>
    <w:autoRedefine/>
    <w:qFormat/>
    <w:uiPriority w:val="0"/>
    <w:pPr>
      <w:numPr>
        <w:ilvl w:val="0"/>
        <w:numId w:val="16"/>
      </w:numPr>
      <w:tabs>
        <w:tab w:val="left" w:pos="0"/>
      </w:tabs>
      <w:spacing w:before="120" w:beforeLines="50" w:after="120" w:afterLines="50"/>
      <w:ind w:left="0"/>
      <w:jc w:val="center"/>
    </w:pPr>
    <w:rPr>
      <w:rFonts w:ascii="黑体" w:hAnsi="Times New Roman" w:eastAsia="黑体" w:cs="Times New Roman"/>
      <w:sz w:val="21"/>
      <w:lang w:val="en-US" w:eastAsia="zh-CN" w:bidi="ar-SA"/>
    </w:rPr>
  </w:style>
  <w:style w:type="paragraph" w:customStyle="1" w:styleId="119">
    <w:name w:val="标准文件_正文公式"/>
    <w:basedOn w:val="1"/>
    <w:next w:val="63"/>
    <w:link w:val="255"/>
    <w:autoRedefine/>
    <w:qFormat/>
    <w:uiPriority w:val="0"/>
    <w:pPr>
      <w:tabs>
        <w:tab w:val="center" w:pos="4678"/>
        <w:tab w:val="right" w:leader="middleDot" w:pos="9356"/>
      </w:tabs>
      <w:spacing w:line="240" w:lineRule="auto"/>
    </w:pPr>
    <w:rPr>
      <w:rFonts w:ascii="宋体" w:hAnsi="宋体"/>
    </w:rPr>
  </w:style>
  <w:style w:type="paragraph" w:customStyle="1" w:styleId="120">
    <w:name w:val="标准文件_正文图标题"/>
    <w:next w:val="64"/>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1">
    <w:name w:val="标准文件_正文英文表标题"/>
    <w:next w:val="64"/>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2">
    <w:name w:val="标准文件_正文英文图标题"/>
    <w:next w:val="64"/>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3">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4">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5">
    <w:name w:val="发布部门"/>
    <w:next w:val="64"/>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6">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7">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8">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9">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0">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1">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2">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3">
    <w:name w:val="封面正文"/>
    <w:autoRedefine/>
    <w:qFormat/>
    <w:uiPriority w:val="0"/>
    <w:pPr>
      <w:jc w:val="both"/>
    </w:pPr>
    <w:rPr>
      <w:rFonts w:ascii="Times New Roman" w:hAnsi="Times New Roman" w:eastAsia="宋体" w:cs="Times New Roman"/>
      <w:lang w:val="en-US" w:eastAsia="zh-CN" w:bidi="ar-SA"/>
    </w:rPr>
  </w:style>
  <w:style w:type="paragraph" w:customStyle="1" w:styleId="134">
    <w:name w:val="附录二级无标题条"/>
    <w:basedOn w:val="1"/>
    <w:next w:val="64"/>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5">
    <w:name w:val="附录三级无标题条"/>
    <w:basedOn w:val="134"/>
    <w:next w:val="64"/>
    <w:autoRedefine/>
    <w:qFormat/>
    <w:uiPriority w:val="0"/>
    <w:pPr>
      <w:outlineLvl w:val="4"/>
    </w:pPr>
  </w:style>
  <w:style w:type="paragraph" w:customStyle="1" w:styleId="136">
    <w:name w:val="附录四级无标题条"/>
    <w:basedOn w:val="135"/>
    <w:next w:val="64"/>
    <w:autoRedefine/>
    <w:qFormat/>
    <w:uiPriority w:val="0"/>
    <w:pPr>
      <w:outlineLvl w:val="5"/>
    </w:pPr>
  </w:style>
  <w:style w:type="paragraph" w:customStyle="1" w:styleId="137">
    <w:name w:val="附录图"/>
    <w:next w:val="64"/>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8">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9">
    <w:name w:val="附录五级无标题条"/>
    <w:basedOn w:val="136"/>
    <w:next w:val="64"/>
    <w:autoRedefine/>
    <w:qFormat/>
    <w:uiPriority w:val="0"/>
    <w:pPr>
      <w:outlineLvl w:val="6"/>
    </w:pPr>
  </w:style>
  <w:style w:type="paragraph" w:customStyle="1" w:styleId="140">
    <w:name w:val="附录性质"/>
    <w:basedOn w:val="1"/>
    <w:autoRedefine/>
    <w:qFormat/>
    <w:uiPriority w:val="0"/>
    <w:pPr>
      <w:widowControl/>
      <w:adjustRightInd/>
      <w:jc w:val="center"/>
    </w:pPr>
    <w:rPr>
      <w:rFonts w:ascii="黑体" w:eastAsia="黑体"/>
    </w:rPr>
  </w:style>
  <w:style w:type="paragraph" w:customStyle="1" w:styleId="141">
    <w:name w:val="附录一级无标题条"/>
    <w:basedOn w:val="94"/>
    <w:next w:val="64"/>
    <w:autoRedefine/>
    <w:qFormat/>
    <w:uiPriority w:val="0"/>
    <w:pPr>
      <w:autoSpaceDN w:val="0"/>
      <w:outlineLvl w:val="2"/>
    </w:pPr>
    <w:rPr>
      <w:rFonts w:ascii="宋体" w:hAnsi="宋体" w:eastAsia="宋体"/>
    </w:rPr>
  </w:style>
  <w:style w:type="character" w:customStyle="1" w:styleId="142">
    <w:name w:val="个人答复风格"/>
    <w:autoRedefine/>
    <w:qFormat/>
    <w:uiPriority w:val="0"/>
    <w:rPr>
      <w:rFonts w:ascii="Arial" w:hAnsi="Arial" w:eastAsia="宋体" w:cs="Arial"/>
      <w:color w:val="auto"/>
      <w:spacing w:val="0"/>
      <w:sz w:val="20"/>
    </w:rPr>
  </w:style>
  <w:style w:type="character" w:customStyle="1" w:styleId="143">
    <w:name w:val="个人撰写风格"/>
    <w:autoRedefine/>
    <w:qFormat/>
    <w:uiPriority w:val="0"/>
    <w:rPr>
      <w:rFonts w:ascii="Arial" w:hAnsi="Arial" w:eastAsia="宋体" w:cs="Arial"/>
      <w:color w:val="auto"/>
      <w:spacing w:val="0"/>
      <w:sz w:val="20"/>
    </w:rPr>
  </w:style>
  <w:style w:type="paragraph" w:customStyle="1" w:styleId="144">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5">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6">
    <w:name w:val="列项·"/>
    <w:basedOn w:val="64"/>
    <w:autoRedefine/>
    <w:qFormat/>
    <w:uiPriority w:val="0"/>
    <w:pPr>
      <w:tabs>
        <w:tab w:val="left" w:pos="840"/>
      </w:tabs>
    </w:pPr>
  </w:style>
  <w:style w:type="paragraph" w:customStyle="1" w:styleId="147">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8">
    <w:name w:val="目录 21"/>
    <w:basedOn w:val="1"/>
    <w:next w:val="1"/>
    <w:autoRedefine/>
    <w:semiHidden/>
    <w:qFormat/>
    <w:uiPriority w:val="0"/>
    <w:pPr>
      <w:adjustRightInd/>
      <w:spacing w:line="240" w:lineRule="auto"/>
      <w:jc w:val="left"/>
    </w:pPr>
    <w:rPr>
      <w:bCs/>
      <w:iCs/>
    </w:rPr>
  </w:style>
  <w:style w:type="paragraph" w:customStyle="1" w:styleId="149">
    <w:name w:val="目录 31"/>
    <w:basedOn w:val="1"/>
    <w:next w:val="1"/>
    <w:autoRedefine/>
    <w:semiHidden/>
    <w:qFormat/>
    <w:uiPriority w:val="0"/>
    <w:pPr>
      <w:spacing w:line="240" w:lineRule="auto"/>
    </w:pPr>
    <w:rPr>
      <w:rFonts w:ascii="宋体" w:hAnsi="宋体"/>
      <w:iCs/>
    </w:rPr>
  </w:style>
  <w:style w:type="paragraph" w:customStyle="1" w:styleId="150">
    <w:name w:val="目录 41"/>
    <w:basedOn w:val="1"/>
    <w:next w:val="1"/>
    <w:autoRedefine/>
    <w:semiHidden/>
    <w:qFormat/>
    <w:uiPriority w:val="0"/>
    <w:pPr>
      <w:adjustRightInd/>
      <w:spacing w:line="240" w:lineRule="auto"/>
      <w:jc w:val="left"/>
    </w:pPr>
  </w:style>
  <w:style w:type="paragraph" w:customStyle="1" w:styleId="151">
    <w:name w:val="目录 51"/>
    <w:basedOn w:val="1"/>
    <w:next w:val="1"/>
    <w:autoRedefine/>
    <w:semiHidden/>
    <w:qFormat/>
    <w:uiPriority w:val="0"/>
    <w:pPr>
      <w:spacing w:line="240" w:lineRule="auto"/>
    </w:pPr>
    <w:rPr>
      <w:rFonts w:ascii="宋体" w:hAnsi="宋体"/>
    </w:rPr>
  </w:style>
  <w:style w:type="paragraph" w:customStyle="1" w:styleId="152">
    <w:name w:val="目录 61"/>
    <w:basedOn w:val="1"/>
    <w:next w:val="1"/>
    <w:autoRedefine/>
    <w:semiHidden/>
    <w:qFormat/>
    <w:uiPriority w:val="0"/>
    <w:pPr>
      <w:adjustRightInd/>
      <w:spacing w:line="240" w:lineRule="auto"/>
      <w:jc w:val="left"/>
    </w:pPr>
  </w:style>
  <w:style w:type="paragraph" w:customStyle="1" w:styleId="153">
    <w:name w:val="目录 71"/>
    <w:basedOn w:val="152"/>
    <w:autoRedefine/>
    <w:semiHidden/>
    <w:qFormat/>
    <w:uiPriority w:val="0"/>
    <w:pPr>
      <w:ind w:left="1260"/>
    </w:pPr>
  </w:style>
  <w:style w:type="paragraph" w:customStyle="1" w:styleId="154">
    <w:name w:val="目录 81"/>
    <w:basedOn w:val="153"/>
    <w:autoRedefine/>
    <w:semiHidden/>
    <w:qFormat/>
    <w:uiPriority w:val="0"/>
    <w:pPr>
      <w:ind w:left="1470"/>
    </w:pPr>
  </w:style>
  <w:style w:type="paragraph" w:customStyle="1" w:styleId="155">
    <w:name w:val="目录 91"/>
    <w:basedOn w:val="154"/>
    <w:autoRedefine/>
    <w:semiHidden/>
    <w:qFormat/>
    <w:uiPriority w:val="0"/>
    <w:pPr>
      <w:ind w:left="1680"/>
    </w:pPr>
  </w:style>
  <w:style w:type="paragraph" w:customStyle="1" w:styleId="156">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7">
    <w:name w:val="其他发布部门"/>
    <w:basedOn w:val="125"/>
    <w:autoRedefine/>
    <w:qFormat/>
    <w:uiPriority w:val="0"/>
    <w:pPr>
      <w:framePr w:wrap="around"/>
      <w:spacing w:line="0" w:lineRule="atLeast"/>
    </w:pPr>
    <w:rPr>
      <w:rFonts w:ascii="黑体" w:eastAsia="黑体"/>
      <w:b w:val="0"/>
    </w:rPr>
  </w:style>
  <w:style w:type="paragraph" w:customStyle="1" w:styleId="158">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9">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60">
    <w:name w:val="实施日期"/>
    <w:basedOn w:val="126"/>
    <w:autoRedefine/>
    <w:qFormat/>
    <w:uiPriority w:val="0"/>
    <w:pPr>
      <w:framePr w:hSpace="0" w:wrap="around" w:xAlign="right"/>
      <w:jc w:val="right"/>
    </w:pPr>
  </w:style>
  <w:style w:type="paragraph" w:customStyle="1" w:styleId="161">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2">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3">
    <w:name w:val="无标题条"/>
    <w:next w:val="64"/>
    <w:autoRedefine/>
    <w:qFormat/>
    <w:uiPriority w:val="0"/>
    <w:pPr>
      <w:jc w:val="both"/>
    </w:pPr>
    <w:rPr>
      <w:rFonts w:ascii="宋体" w:hAnsi="宋体" w:eastAsia="宋体" w:cs="Times New Roman"/>
      <w:sz w:val="21"/>
      <w:lang w:val="en-US" w:eastAsia="zh-CN" w:bidi="ar-SA"/>
    </w:rPr>
  </w:style>
  <w:style w:type="paragraph" w:customStyle="1" w:styleId="164">
    <w:name w:val="五级无标题条"/>
    <w:basedOn w:val="1"/>
    <w:autoRedefine/>
    <w:qFormat/>
    <w:uiPriority w:val="0"/>
    <w:pPr>
      <w:numPr>
        <w:ilvl w:val="6"/>
        <w:numId w:val="20"/>
      </w:numPr>
      <w:adjustRightInd/>
    </w:pPr>
    <w:rPr>
      <w:szCs w:val="24"/>
    </w:rPr>
  </w:style>
  <w:style w:type="paragraph" w:customStyle="1" w:styleId="165">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6">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7">
    <w:name w:val="注×:后续"/>
    <w:basedOn w:val="166"/>
    <w:autoRedefine/>
    <w:qFormat/>
    <w:uiPriority w:val="0"/>
    <w:pPr>
      <w:ind w:left="1406" w:leftChars="0" w:hanging="499" w:firstLineChars="0"/>
    </w:pPr>
  </w:style>
  <w:style w:type="paragraph" w:customStyle="1" w:styleId="168">
    <w:name w:val="标准文件_一级无标题"/>
    <w:basedOn w:val="111"/>
    <w:autoRedefine/>
    <w:qFormat/>
    <w:uiPriority w:val="0"/>
    <w:pPr>
      <w:spacing w:beforeLines="0" w:afterLines="0"/>
      <w:outlineLvl w:val="9"/>
    </w:pPr>
    <w:rPr>
      <w:rFonts w:ascii="宋体" w:eastAsia="宋体"/>
    </w:rPr>
  </w:style>
  <w:style w:type="paragraph" w:customStyle="1" w:styleId="169">
    <w:name w:val="标准文件_五级无标题"/>
    <w:basedOn w:val="109"/>
    <w:autoRedefine/>
    <w:qFormat/>
    <w:uiPriority w:val="0"/>
    <w:pPr>
      <w:spacing w:beforeLines="0" w:afterLines="0"/>
      <w:outlineLvl w:val="9"/>
    </w:pPr>
    <w:rPr>
      <w:rFonts w:ascii="宋体" w:eastAsia="宋体"/>
    </w:rPr>
  </w:style>
  <w:style w:type="paragraph" w:customStyle="1" w:styleId="170">
    <w:name w:val="标准文件_三级无标题"/>
    <w:basedOn w:val="101"/>
    <w:autoRedefine/>
    <w:qFormat/>
    <w:uiPriority w:val="0"/>
    <w:pPr>
      <w:spacing w:beforeLines="0" w:afterLines="0"/>
      <w:outlineLvl w:val="9"/>
    </w:pPr>
    <w:rPr>
      <w:rFonts w:ascii="宋体" w:eastAsia="宋体"/>
    </w:rPr>
  </w:style>
  <w:style w:type="paragraph" w:customStyle="1" w:styleId="171">
    <w:name w:val="标准文件_二级无标题"/>
    <w:basedOn w:val="73"/>
    <w:autoRedefine/>
    <w:qFormat/>
    <w:uiPriority w:val="0"/>
    <w:pPr>
      <w:spacing w:beforeLines="0" w:afterLines="0"/>
      <w:outlineLvl w:val="9"/>
    </w:pPr>
    <w:rPr>
      <w:rFonts w:ascii="宋体" w:eastAsia="宋体"/>
    </w:rPr>
  </w:style>
  <w:style w:type="paragraph" w:customStyle="1" w:styleId="172">
    <w:name w:val="标准_四级无标题"/>
    <w:basedOn w:val="105"/>
    <w:next w:val="64"/>
    <w:autoRedefine/>
    <w:qFormat/>
    <w:uiPriority w:val="0"/>
    <w:rPr>
      <w:rFonts w:eastAsia="宋体"/>
    </w:rPr>
  </w:style>
  <w:style w:type="paragraph" w:customStyle="1" w:styleId="173">
    <w:name w:val="标准文件_四级无标题"/>
    <w:basedOn w:val="105"/>
    <w:autoRedefine/>
    <w:qFormat/>
    <w:uiPriority w:val="0"/>
    <w:pPr>
      <w:spacing w:beforeLines="0" w:afterLines="0"/>
      <w:outlineLvl w:val="9"/>
    </w:pPr>
    <w:rPr>
      <w:rFonts w:ascii="宋体" w:hAnsi="黑体" w:eastAsia="宋体"/>
      <w:szCs w:val="52"/>
    </w:rPr>
  </w:style>
  <w:style w:type="paragraph" w:customStyle="1" w:styleId="174">
    <w:name w:val="标准文件_大写罗马数字编号列项"/>
    <w:basedOn w:val="64"/>
    <w:autoRedefine/>
    <w:qFormat/>
    <w:uiPriority w:val="0"/>
    <w:pPr>
      <w:numPr>
        <w:ilvl w:val="0"/>
        <w:numId w:val="23"/>
      </w:numPr>
      <w:ind w:firstLine="0" w:firstLineChars="0"/>
    </w:pPr>
    <w:rPr>
      <w:rFonts w:ascii="Times New Roman" w:cs="Arial"/>
      <w:szCs w:val="28"/>
    </w:rPr>
  </w:style>
  <w:style w:type="paragraph" w:customStyle="1" w:styleId="175">
    <w:name w:val="标准文件_小写罗马数字编号列项"/>
    <w:basedOn w:val="64"/>
    <w:autoRedefine/>
    <w:qFormat/>
    <w:uiPriority w:val="0"/>
    <w:pPr>
      <w:numPr>
        <w:ilvl w:val="0"/>
        <w:numId w:val="24"/>
      </w:numPr>
      <w:ind w:firstLine="0" w:firstLineChars="0"/>
    </w:pPr>
    <w:rPr>
      <w:rFonts w:cs="Arial"/>
      <w:szCs w:val="28"/>
    </w:rPr>
  </w:style>
  <w:style w:type="paragraph" w:customStyle="1" w:styleId="176">
    <w:name w:val="标准文件_附录标题"/>
    <w:basedOn w:val="84"/>
    <w:autoRedefine/>
    <w:qFormat/>
    <w:uiPriority w:val="0"/>
    <w:pPr>
      <w:numPr>
        <w:numId w:val="0"/>
      </w:numPr>
      <w:spacing w:before="60" w:after="120"/>
      <w:outlineLvl w:val="9"/>
    </w:pPr>
    <w:rPr>
      <w:kern w:val="21"/>
    </w:rPr>
  </w:style>
  <w:style w:type="paragraph" w:customStyle="1" w:styleId="177">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8">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9">
    <w:name w:val="图表脚注说明"/>
    <w:basedOn w:val="1"/>
    <w:next w:val="64"/>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80">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1">
    <w:name w:val="标准文件_索引字母"/>
    <w:next w:val="64"/>
    <w:autoRedefine/>
    <w:qFormat/>
    <w:uiPriority w:val="0"/>
    <w:pPr>
      <w:jc w:val="center"/>
    </w:pPr>
    <w:rPr>
      <w:rFonts w:ascii="宋体" w:hAnsi="宋体" w:eastAsia="Times New Roman" w:cs="Times New Roman"/>
      <w:b/>
      <w:kern w:val="2"/>
      <w:sz w:val="21"/>
      <w:lang w:val="en-US" w:eastAsia="zh-CN" w:bidi="ar-SA"/>
    </w:rPr>
  </w:style>
  <w:style w:type="paragraph" w:customStyle="1" w:styleId="182">
    <w:name w:val="标准文件_附录前"/>
    <w:next w:val="64"/>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3">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4">
    <w:name w:val="标准文件_表格"/>
    <w:basedOn w:val="64"/>
    <w:autoRedefine/>
    <w:qFormat/>
    <w:uiPriority w:val="0"/>
    <w:pPr>
      <w:ind w:firstLine="0" w:firstLineChars="0"/>
      <w:jc w:val="center"/>
    </w:pPr>
    <w:rPr>
      <w:sz w:val="18"/>
    </w:rPr>
  </w:style>
  <w:style w:type="paragraph" w:customStyle="1" w:styleId="185">
    <w:name w:val="标准文件_注："/>
    <w:next w:val="64"/>
    <w:link w:val="286"/>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注×："/>
    <w:link w:val="287"/>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7">
    <w:name w:val="标准文件_示例："/>
    <w:next w:val="188"/>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8">
    <w:name w:val="标准文件_示例内容"/>
    <w:basedOn w:val="64"/>
    <w:autoRedefine/>
    <w:qFormat/>
    <w:uiPriority w:val="0"/>
    <w:rPr>
      <w:sz w:val="18"/>
    </w:rPr>
  </w:style>
  <w:style w:type="paragraph" w:customStyle="1" w:styleId="189">
    <w:name w:val="标准文件_示例×："/>
    <w:basedOn w:val="1"/>
    <w:next w:val="188"/>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90">
    <w:name w:val="标准文件_段 Char"/>
    <w:link w:val="64"/>
    <w:autoRedefine/>
    <w:qFormat/>
    <w:uiPriority w:val="0"/>
    <w:rPr>
      <w:rFonts w:ascii="宋体" w:hAnsi="Times New Roman" w:eastAsia="宋体" w:cs="Times New Roman"/>
      <w:kern w:val="0"/>
      <w:szCs w:val="20"/>
    </w:rPr>
  </w:style>
  <w:style w:type="paragraph" w:customStyle="1" w:styleId="191">
    <w:name w:val="标准文件_表格续"/>
    <w:basedOn w:val="64"/>
    <w:next w:val="64"/>
    <w:autoRedefine/>
    <w:qFormat/>
    <w:uiPriority w:val="0"/>
    <w:pPr>
      <w:jc w:val="center"/>
    </w:pPr>
    <w:rPr>
      <w:rFonts w:ascii="黑体" w:hAnsi="黑体" w:eastAsia="黑体"/>
    </w:rPr>
  </w:style>
  <w:style w:type="character" w:customStyle="1" w:styleId="192">
    <w:name w:val="占位符文本1"/>
    <w:basedOn w:val="31"/>
    <w:autoRedefine/>
    <w:semiHidden/>
    <w:qFormat/>
    <w:uiPriority w:val="99"/>
    <w:rPr>
      <w:color w:val="808080"/>
    </w:rPr>
  </w:style>
  <w:style w:type="paragraph" w:customStyle="1" w:styleId="193">
    <w:name w:val="标准文件_二级项2"/>
    <w:basedOn w:val="64"/>
    <w:autoRedefine/>
    <w:qFormat/>
    <w:uiPriority w:val="0"/>
    <w:pPr>
      <w:numPr>
        <w:ilvl w:val="1"/>
        <w:numId w:val="21"/>
      </w:numPr>
      <w:ind w:left="1271" w:hanging="420" w:firstLineChars="0"/>
    </w:pPr>
  </w:style>
  <w:style w:type="paragraph" w:customStyle="1" w:styleId="194">
    <w:name w:val="标准文件_三级项2"/>
    <w:basedOn w:val="64"/>
    <w:autoRedefine/>
    <w:qFormat/>
    <w:uiPriority w:val="0"/>
    <w:pPr>
      <w:numPr>
        <w:ilvl w:val="0"/>
        <w:numId w:val="30"/>
      </w:numPr>
      <w:spacing w:line="300" w:lineRule="exact"/>
      <w:ind w:left="1276" w:hanging="425" w:firstLineChars="0"/>
    </w:pPr>
    <w:rPr>
      <w:rFonts w:ascii="Times New Roman"/>
    </w:rPr>
  </w:style>
  <w:style w:type="paragraph" w:customStyle="1" w:styleId="195">
    <w:name w:val="标准文件_一级项2"/>
    <w:basedOn w:val="64"/>
    <w:autoRedefine/>
    <w:qFormat/>
    <w:uiPriority w:val="0"/>
    <w:pPr>
      <w:numPr>
        <w:ilvl w:val="0"/>
        <w:numId w:val="31"/>
      </w:numPr>
      <w:spacing w:line="300" w:lineRule="exact"/>
      <w:ind w:left="1271" w:hanging="420" w:firstLineChars="0"/>
    </w:pPr>
    <w:rPr>
      <w:rFonts w:ascii="Times New Roman"/>
    </w:rPr>
  </w:style>
  <w:style w:type="paragraph" w:customStyle="1" w:styleId="196">
    <w:name w:val="标准文件_提示"/>
    <w:basedOn w:val="64"/>
    <w:next w:val="64"/>
    <w:autoRedefine/>
    <w:qFormat/>
    <w:uiPriority w:val="0"/>
    <w:rPr>
      <w:rFonts w:ascii="黑体" w:eastAsia="黑体"/>
    </w:rPr>
  </w:style>
  <w:style w:type="character" w:customStyle="1" w:styleId="197">
    <w:name w:val="标准文件_来源"/>
    <w:basedOn w:val="31"/>
    <w:autoRedefine/>
    <w:qFormat/>
    <w:uiPriority w:val="1"/>
    <w:rPr>
      <w:rFonts w:eastAsia="宋体"/>
      <w:sz w:val="21"/>
    </w:rPr>
  </w:style>
  <w:style w:type="paragraph" w:customStyle="1" w:styleId="198">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9">
    <w:name w:val="其他发布日期"/>
    <w:basedOn w:val="126"/>
    <w:autoRedefine/>
    <w:qFormat/>
    <w:uiPriority w:val="0"/>
    <w:pPr>
      <w:framePr w:w="3997" w:h="471" w:hRule="exact" w:hSpace="0" w:vSpace="181" w:wrap="around" w:vAnchor="page" w:hAnchor="page" w:x="1419" w:y="14097"/>
    </w:pPr>
  </w:style>
  <w:style w:type="paragraph" w:customStyle="1" w:styleId="200">
    <w:name w:val="其他实施日期"/>
    <w:basedOn w:val="160"/>
    <w:autoRedefine/>
    <w:qFormat/>
    <w:uiPriority w:val="0"/>
    <w:pPr>
      <w:framePr w:w="3997" w:h="471" w:hRule="exact" w:vSpace="181" w:wrap="around" w:vAnchor="page" w:hAnchor="page" w:x="7089" w:y="14097"/>
    </w:pPr>
  </w:style>
  <w:style w:type="paragraph" w:customStyle="1" w:styleId="201">
    <w:name w:val="标准文件_文件编号"/>
    <w:basedOn w:val="64"/>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2">
    <w:name w:val="标准文件_替换文件编号"/>
    <w:basedOn w:val="201"/>
    <w:autoRedefine/>
    <w:qFormat/>
    <w:uiPriority w:val="0"/>
    <w:pPr>
      <w:framePr w:wrap="around"/>
      <w:spacing w:before="57"/>
    </w:pPr>
    <w:rPr>
      <w:sz w:val="21"/>
    </w:rPr>
  </w:style>
  <w:style w:type="paragraph" w:customStyle="1" w:styleId="203">
    <w:name w:val="标准文件_文件名称"/>
    <w:basedOn w:val="64"/>
    <w:next w:val="64"/>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4">
    <w:name w:val="标准文件_附录图标号"/>
    <w:basedOn w:val="64"/>
    <w:next w:val="64"/>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5">
    <w:name w:val="标准文件_附录表标号"/>
    <w:basedOn w:val="64"/>
    <w:next w:val="64"/>
    <w:autoRedefine/>
    <w:qFormat/>
    <w:uiPriority w:val="0"/>
    <w:pPr>
      <w:numPr>
        <w:ilvl w:val="0"/>
        <w:numId w:val="5"/>
      </w:numPr>
      <w:spacing w:line="14" w:lineRule="exact"/>
      <w:ind w:firstLine="0" w:firstLineChars="0"/>
      <w:jc w:val="center"/>
    </w:pPr>
    <w:rPr>
      <w:rFonts w:eastAsia="黑体"/>
      <w:vanish/>
      <w:sz w:val="2"/>
    </w:rPr>
  </w:style>
  <w:style w:type="paragraph" w:customStyle="1" w:styleId="206">
    <w:name w:val="标准文件_引言一级条标题"/>
    <w:basedOn w:val="64"/>
    <w:next w:val="64"/>
    <w:autoRedefine/>
    <w:qFormat/>
    <w:uiPriority w:val="0"/>
    <w:pPr>
      <w:numPr>
        <w:ilvl w:val="1"/>
        <w:numId w:val="8"/>
      </w:numPr>
      <w:spacing w:beforeLines="50" w:afterLines="50"/>
      <w:ind w:firstLineChars="0"/>
    </w:pPr>
    <w:rPr>
      <w:rFonts w:ascii="黑体" w:eastAsia="黑体"/>
    </w:rPr>
  </w:style>
  <w:style w:type="paragraph" w:customStyle="1" w:styleId="207">
    <w:name w:val="标准文件_引言二级条标题"/>
    <w:basedOn w:val="64"/>
    <w:next w:val="64"/>
    <w:autoRedefine/>
    <w:qFormat/>
    <w:uiPriority w:val="0"/>
    <w:pPr>
      <w:numPr>
        <w:ilvl w:val="2"/>
        <w:numId w:val="8"/>
      </w:numPr>
      <w:spacing w:beforeLines="50" w:afterLines="50"/>
      <w:ind w:firstLineChars="0"/>
    </w:pPr>
    <w:rPr>
      <w:rFonts w:ascii="黑体" w:eastAsia="黑体"/>
    </w:rPr>
  </w:style>
  <w:style w:type="paragraph" w:customStyle="1" w:styleId="208">
    <w:name w:val="标准文件_引言三级条标题"/>
    <w:basedOn w:val="64"/>
    <w:next w:val="64"/>
    <w:autoRedefine/>
    <w:qFormat/>
    <w:uiPriority w:val="0"/>
    <w:pPr>
      <w:numPr>
        <w:ilvl w:val="3"/>
        <w:numId w:val="8"/>
      </w:numPr>
      <w:spacing w:beforeLines="50" w:afterLines="50"/>
      <w:ind w:firstLineChars="0"/>
    </w:pPr>
    <w:rPr>
      <w:rFonts w:ascii="黑体" w:eastAsia="黑体"/>
    </w:rPr>
  </w:style>
  <w:style w:type="paragraph" w:customStyle="1" w:styleId="209">
    <w:name w:val="标准文件_引言四级条标题"/>
    <w:basedOn w:val="64"/>
    <w:next w:val="64"/>
    <w:autoRedefine/>
    <w:qFormat/>
    <w:uiPriority w:val="0"/>
    <w:pPr>
      <w:numPr>
        <w:ilvl w:val="4"/>
        <w:numId w:val="8"/>
      </w:numPr>
      <w:spacing w:beforeLines="50" w:afterLines="50"/>
      <w:ind w:firstLineChars="0"/>
    </w:pPr>
    <w:rPr>
      <w:rFonts w:ascii="黑体" w:eastAsia="黑体"/>
    </w:rPr>
  </w:style>
  <w:style w:type="paragraph" w:customStyle="1" w:styleId="210">
    <w:name w:val="标准文件_引言五级条标题"/>
    <w:basedOn w:val="64"/>
    <w:next w:val="64"/>
    <w:autoRedefine/>
    <w:qFormat/>
    <w:uiPriority w:val="0"/>
    <w:pPr>
      <w:numPr>
        <w:ilvl w:val="5"/>
        <w:numId w:val="8"/>
      </w:numPr>
      <w:spacing w:beforeLines="50" w:afterLines="50"/>
      <w:ind w:firstLineChars="0"/>
    </w:pPr>
    <w:rPr>
      <w:rFonts w:ascii="黑体" w:eastAsia="黑体"/>
    </w:rPr>
  </w:style>
  <w:style w:type="paragraph" w:customStyle="1" w:styleId="211">
    <w:name w:val="标准文件_注后"/>
    <w:basedOn w:val="64"/>
    <w:autoRedefine/>
    <w:qFormat/>
    <w:uiPriority w:val="0"/>
    <w:pPr>
      <w:ind w:left="811" w:firstLine="0" w:firstLineChars="0"/>
    </w:pPr>
    <w:rPr>
      <w:sz w:val="18"/>
    </w:rPr>
  </w:style>
  <w:style w:type="paragraph" w:customStyle="1" w:styleId="212">
    <w:name w:val="标准文件_注X后"/>
    <w:basedOn w:val="64"/>
    <w:autoRedefine/>
    <w:qFormat/>
    <w:uiPriority w:val="0"/>
    <w:pPr>
      <w:ind w:left="811" w:firstLine="0" w:firstLineChars="0"/>
    </w:pPr>
    <w:rPr>
      <w:sz w:val="18"/>
    </w:rPr>
  </w:style>
  <w:style w:type="paragraph" w:customStyle="1" w:styleId="213">
    <w:name w:val="标准文件_示例后"/>
    <w:basedOn w:val="64"/>
    <w:autoRedefine/>
    <w:qFormat/>
    <w:uiPriority w:val="0"/>
    <w:pPr>
      <w:ind w:left="964" w:firstLine="0" w:firstLineChars="0"/>
    </w:pPr>
    <w:rPr>
      <w:sz w:val="18"/>
    </w:rPr>
  </w:style>
  <w:style w:type="paragraph" w:customStyle="1" w:styleId="214">
    <w:name w:val="标准文件_示例X后"/>
    <w:basedOn w:val="64"/>
    <w:link w:val="215"/>
    <w:autoRedefine/>
    <w:qFormat/>
    <w:uiPriority w:val="0"/>
    <w:pPr>
      <w:ind w:left="1049" w:firstLine="0" w:firstLineChars="0"/>
    </w:pPr>
    <w:rPr>
      <w:sz w:val="18"/>
    </w:rPr>
  </w:style>
  <w:style w:type="character" w:customStyle="1" w:styleId="215">
    <w:name w:val="标准文件_示例X后 字符"/>
    <w:basedOn w:val="190"/>
    <w:link w:val="214"/>
    <w:autoRedefine/>
    <w:qFormat/>
    <w:uiPriority w:val="0"/>
    <w:rPr>
      <w:rFonts w:ascii="宋体" w:hAnsi="Times New Roman" w:eastAsia="宋体" w:cs="Times New Roman"/>
      <w:kern w:val="0"/>
      <w:sz w:val="18"/>
      <w:szCs w:val="20"/>
    </w:rPr>
  </w:style>
  <w:style w:type="paragraph" w:customStyle="1" w:styleId="216">
    <w:name w:val="标准文件_索引项"/>
    <w:basedOn w:val="64"/>
    <w:next w:val="64"/>
    <w:autoRedefine/>
    <w:qFormat/>
    <w:uiPriority w:val="0"/>
    <w:pPr>
      <w:tabs>
        <w:tab w:val="right" w:leader="dot" w:pos="9356"/>
      </w:tabs>
      <w:ind w:left="210" w:hanging="210" w:firstLineChars="0"/>
      <w:jc w:val="left"/>
    </w:pPr>
  </w:style>
  <w:style w:type="paragraph" w:customStyle="1" w:styleId="217">
    <w:name w:val="标准文件_附录一级无标题"/>
    <w:basedOn w:val="86"/>
    <w:autoRedefine/>
    <w:qFormat/>
    <w:uiPriority w:val="0"/>
    <w:pPr>
      <w:spacing w:beforeLines="0" w:afterLines="0" w:line="276" w:lineRule="auto"/>
      <w:outlineLvl w:val="9"/>
    </w:pPr>
    <w:rPr>
      <w:rFonts w:ascii="宋体" w:eastAsia="宋体"/>
    </w:rPr>
  </w:style>
  <w:style w:type="paragraph" w:customStyle="1" w:styleId="218">
    <w:name w:val="标准文件_附录二级无标题"/>
    <w:basedOn w:val="87"/>
    <w:autoRedefine/>
    <w:qFormat/>
    <w:uiPriority w:val="0"/>
    <w:pPr>
      <w:spacing w:beforeLines="0" w:afterLines="0" w:line="276" w:lineRule="auto"/>
      <w:outlineLvl w:val="9"/>
    </w:pPr>
    <w:rPr>
      <w:rFonts w:ascii="宋体" w:eastAsia="宋体"/>
    </w:rPr>
  </w:style>
  <w:style w:type="paragraph" w:customStyle="1" w:styleId="219">
    <w:name w:val="标准文件_附录三级无标题"/>
    <w:basedOn w:val="89"/>
    <w:autoRedefine/>
    <w:qFormat/>
    <w:uiPriority w:val="0"/>
    <w:pPr>
      <w:spacing w:beforeLines="0" w:afterLines="0" w:line="276" w:lineRule="auto"/>
      <w:outlineLvl w:val="9"/>
    </w:pPr>
    <w:rPr>
      <w:rFonts w:ascii="宋体" w:eastAsia="宋体"/>
    </w:rPr>
  </w:style>
  <w:style w:type="paragraph" w:customStyle="1" w:styleId="220">
    <w:name w:val="标准文件_附录四级无标题"/>
    <w:basedOn w:val="90"/>
    <w:autoRedefine/>
    <w:qFormat/>
    <w:uiPriority w:val="0"/>
    <w:pPr>
      <w:spacing w:beforeLines="0" w:afterLines="0" w:line="276" w:lineRule="auto"/>
      <w:outlineLvl w:val="9"/>
    </w:pPr>
    <w:rPr>
      <w:rFonts w:ascii="宋体" w:eastAsia="宋体"/>
    </w:rPr>
  </w:style>
  <w:style w:type="paragraph" w:customStyle="1" w:styleId="221">
    <w:name w:val="标准文件_附录五级无标题"/>
    <w:basedOn w:val="92"/>
    <w:autoRedefine/>
    <w:qFormat/>
    <w:uiPriority w:val="0"/>
    <w:pPr>
      <w:spacing w:beforeLines="0" w:afterLines="0" w:line="276" w:lineRule="auto"/>
      <w:outlineLvl w:val="9"/>
    </w:pPr>
    <w:rPr>
      <w:rFonts w:ascii="宋体" w:eastAsia="宋体"/>
    </w:rPr>
  </w:style>
  <w:style w:type="paragraph" w:customStyle="1" w:styleId="222">
    <w:name w:val="标准文件_引言一级无标题"/>
    <w:basedOn w:val="206"/>
    <w:next w:val="64"/>
    <w:autoRedefine/>
    <w:qFormat/>
    <w:uiPriority w:val="0"/>
    <w:pPr>
      <w:spacing w:beforeLines="0" w:afterLines="0" w:line="276" w:lineRule="auto"/>
    </w:pPr>
    <w:rPr>
      <w:rFonts w:ascii="宋体" w:eastAsia="宋体"/>
    </w:rPr>
  </w:style>
  <w:style w:type="paragraph" w:customStyle="1" w:styleId="223">
    <w:name w:val="标准文件_引言二级无标题"/>
    <w:basedOn w:val="207"/>
    <w:next w:val="64"/>
    <w:autoRedefine/>
    <w:qFormat/>
    <w:uiPriority w:val="0"/>
    <w:pPr>
      <w:spacing w:beforeLines="0" w:afterLines="0" w:line="276" w:lineRule="auto"/>
    </w:pPr>
    <w:rPr>
      <w:rFonts w:ascii="宋体" w:eastAsia="宋体"/>
    </w:rPr>
  </w:style>
  <w:style w:type="paragraph" w:customStyle="1" w:styleId="224">
    <w:name w:val="标准文件_引言三级无标题"/>
    <w:basedOn w:val="208"/>
    <w:next w:val="64"/>
    <w:autoRedefine/>
    <w:qFormat/>
    <w:uiPriority w:val="0"/>
    <w:pPr>
      <w:spacing w:beforeLines="0" w:afterLines="0" w:line="276" w:lineRule="auto"/>
    </w:pPr>
    <w:rPr>
      <w:rFonts w:ascii="宋体" w:eastAsia="宋体"/>
    </w:rPr>
  </w:style>
  <w:style w:type="paragraph" w:customStyle="1" w:styleId="225">
    <w:name w:val="标准文件_引言四级无标题"/>
    <w:basedOn w:val="209"/>
    <w:next w:val="64"/>
    <w:autoRedefine/>
    <w:qFormat/>
    <w:uiPriority w:val="0"/>
    <w:pPr>
      <w:spacing w:beforeLines="0" w:afterLines="0" w:line="276" w:lineRule="auto"/>
    </w:pPr>
    <w:rPr>
      <w:rFonts w:ascii="宋体" w:eastAsia="宋体"/>
    </w:rPr>
  </w:style>
  <w:style w:type="paragraph" w:customStyle="1" w:styleId="226">
    <w:name w:val="标准文件_引言五级无标题"/>
    <w:basedOn w:val="210"/>
    <w:next w:val="64"/>
    <w:autoRedefine/>
    <w:qFormat/>
    <w:uiPriority w:val="0"/>
    <w:pPr>
      <w:spacing w:beforeLines="0" w:afterLines="0" w:line="276" w:lineRule="auto"/>
    </w:pPr>
    <w:rPr>
      <w:rFonts w:ascii="宋体" w:eastAsia="宋体"/>
    </w:rPr>
  </w:style>
  <w:style w:type="paragraph" w:customStyle="1" w:styleId="227">
    <w:name w:val="标准文件_索引标题"/>
    <w:basedOn w:val="71"/>
    <w:next w:val="64"/>
    <w:autoRedefine/>
    <w:qFormat/>
    <w:uiPriority w:val="0"/>
    <w:rPr>
      <w:rFonts w:hAnsi="黑体"/>
    </w:rPr>
  </w:style>
  <w:style w:type="paragraph" w:customStyle="1" w:styleId="228">
    <w:name w:val="标准文件_脚注内容"/>
    <w:basedOn w:val="64"/>
    <w:autoRedefine/>
    <w:qFormat/>
    <w:uiPriority w:val="0"/>
    <w:pPr>
      <w:ind w:left="400" w:leftChars="200" w:hanging="200" w:hangingChars="200"/>
    </w:pPr>
    <w:rPr>
      <w:sz w:val="15"/>
    </w:rPr>
  </w:style>
  <w:style w:type="paragraph" w:customStyle="1" w:styleId="229">
    <w:name w:val="标准文件_术语条一"/>
    <w:basedOn w:val="168"/>
    <w:next w:val="64"/>
    <w:autoRedefine/>
    <w:qFormat/>
    <w:uiPriority w:val="0"/>
  </w:style>
  <w:style w:type="paragraph" w:customStyle="1" w:styleId="230">
    <w:name w:val="标准文件_术语条二"/>
    <w:basedOn w:val="171"/>
    <w:next w:val="64"/>
    <w:autoRedefine/>
    <w:qFormat/>
    <w:uiPriority w:val="0"/>
  </w:style>
  <w:style w:type="paragraph" w:customStyle="1" w:styleId="231">
    <w:name w:val="标准文件_术语条三"/>
    <w:basedOn w:val="170"/>
    <w:next w:val="64"/>
    <w:autoRedefine/>
    <w:qFormat/>
    <w:uiPriority w:val="0"/>
  </w:style>
  <w:style w:type="paragraph" w:customStyle="1" w:styleId="232">
    <w:name w:val="标准文件_术语条四"/>
    <w:basedOn w:val="173"/>
    <w:next w:val="64"/>
    <w:autoRedefine/>
    <w:qFormat/>
    <w:uiPriority w:val="0"/>
  </w:style>
  <w:style w:type="paragraph" w:customStyle="1" w:styleId="233">
    <w:name w:val="标准文件_术语条五"/>
    <w:basedOn w:val="169"/>
    <w:next w:val="64"/>
    <w:autoRedefine/>
    <w:qFormat/>
    <w:uiPriority w:val="0"/>
  </w:style>
  <w:style w:type="paragraph" w:customStyle="1" w:styleId="23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5">
    <w:name w:val="发布"/>
    <w:basedOn w:val="31"/>
    <w:autoRedefine/>
    <w:qFormat/>
    <w:uiPriority w:val="0"/>
    <w:rPr>
      <w:rFonts w:ascii="黑体" w:eastAsia="黑体"/>
      <w:spacing w:val="85"/>
      <w:w w:val="100"/>
      <w:position w:val="3"/>
      <w:sz w:val="28"/>
      <w:szCs w:val="28"/>
    </w:rPr>
  </w:style>
  <w:style w:type="paragraph" w:customStyle="1" w:styleId="236">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7">
    <w:name w:val="网格型1"/>
    <w:basedOn w:val="29"/>
    <w:autoRedefine/>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2"/>
    <w:basedOn w:val="29"/>
    <w:autoRedefine/>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68"/>
    <w:autoRedefine/>
    <w:qFormat/>
    <w:uiPriority w:val="0"/>
    <w:rPr>
      <w:rFonts w:ascii="黑体" w:hAnsi="Calibri" w:eastAsia="黑体" w:cs="Times New Roman"/>
      <w:kern w:val="0"/>
      <w:sz w:val="32"/>
      <w:szCs w:val="21"/>
      <w:shd w:val="clear" w:color="FFFFFF" w:fill="FFFFFF"/>
    </w:rPr>
  </w:style>
  <w:style w:type="character" w:customStyle="1" w:styleId="247">
    <w:name w:val="标准文件_二级条标题 Char"/>
    <w:link w:val="73"/>
    <w:autoRedefine/>
    <w:qFormat/>
    <w:uiPriority w:val="0"/>
    <w:rPr>
      <w:rFonts w:ascii="黑体" w:hAnsi="Times New Roman" w:eastAsia="黑体" w:cs="Times New Roman"/>
      <w:kern w:val="0"/>
      <w:szCs w:val="20"/>
    </w:rPr>
  </w:style>
  <w:style w:type="character" w:customStyle="1" w:styleId="248">
    <w:name w:val="标准文件_目次、标准名称标题 Char"/>
    <w:link w:val="97"/>
    <w:autoRedefine/>
    <w:qFormat/>
    <w:uiPriority w:val="0"/>
    <w:rPr>
      <w:rFonts w:ascii="黑体" w:hAnsi="Times New Roman" w:eastAsia="黑体" w:cs="Times New Roman"/>
      <w:kern w:val="0"/>
      <w:sz w:val="32"/>
      <w:szCs w:val="20"/>
      <w:shd w:val="clear" w:color="FFFFFF" w:fill="FFFFFF"/>
    </w:rPr>
  </w:style>
  <w:style w:type="character" w:customStyle="1" w:styleId="249">
    <w:name w:val="标准文件_前言、引言标题 Char"/>
    <w:link w:val="96"/>
    <w:autoRedefine/>
    <w:qFormat/>
    <w:uiPriority w:val="0"/>
    <w:rPr>
      <w:rFonts w:ascii="黑体" w:hAnsi="Times New Roman" w:eastAsia="黑体" w:cs="Times New Roman"/>
      <w:kern w:val="0"/>
      <w:sz w:val="32"/>
      <w:szCs w:val="20"/>
      <w:shd w:val="clear" w:color="FFFFFF" w:fill="FFFFFF"/>
    </w:rPr>
  </w:style>
  <w:style w:type="character" w:customStyle="1" w:styleId="250">
    <w:name w:val="标准文件_三级条标题 Char"/>
    <w:link w:val="101"/>
    <w:autoRedefine/>
    <w:qFormat/>
    <w:uiPriority w:val="0"/>
    <w:rPr>
      <w:rFonts w:ascii="黑体" w:hAnsi="Times New Roman" w:eastAsia="黑体" w:cs="Times New Roman"/>
      <w:sz w:val="21"/>
    </w:rPr>
  </w:style>
  <w:style w:type="character" w:customStyle="1" w:styleId="251">
    <w:name w:val="标准文件_一级条标题 Char"/>
    <w:link w:val="111"/>
    <w:autoRedefine/>
    <w:qFormat/>
    <w:uiPriority w:val="0"/>
    <w:rPr>
      <w:rFonts w:ascii="黑体" w:hAnsi="Times New Roman" w:eastAsia="黑体" w:cs="Times New Roman"/>
      <w:kern w:val="0"/>
      <w:szCs w:val="20"/>
    </w:rPr>
  </w:style>
  <w:style w:type="character" w:customStyle="1" w:styleId="252">
    <w:name w:val="标准文件_一致程度 Char"/>
    <w:link w:val="112"/>
    <w:autoRedefine/>
    <w:qFormat/>
    <w:uiPriority w:val="0"/>
    <w:rPr>
      <w:rFonts w:ascii="Calibri" w:hAnsi="Calibri" w:eastAsia="宋体" w:cs="Times New Roman"/>
      <w:sz w:val="28"/>
      <w:szCs w:val="21"/>
    </w:rPr>
  </w:style>
  <w:style w:type="character" w:customStyle="1" w:styleId="253">
    <w:name w:val="标准文件_英文图表脚注 Char"/>
    <w:link w:val="114"/>
    <w:autoRedefine/>
    <w:qFormat/>
    <w:uiPriority w:val="0"/>
    <w:rPr>
      <w:rFonts w:ascii="宋体" w:hAnsi="宋体" w:eastAsia="宋体" w:cs="Times New Roman"/>
      <w:kern w:val="0"/>
      <w:szCs w:val="21"/>
    </w:rPr>
  </w:style>
  <w:style w:type="character" w:customStyle="1" w:styleId="254">
    <w:name w:val="标准文件_正文图标题 Char"/>
    <w:link w:val="120"/>
    <w:autoRedefine/>
    <w:qFormat/>
    <w:uiPriority w:val="0"/>
    <w:rPr>
      <w:rFonts w:ascii="黑体" w:hAnsi="Times New Roman" w:eastAsia="黑体" w:cs="Times New Roman"/>
      <w:kern w:val="0"/>
      <w:szCs w:val="20"/>
    </w:rPr>
  </w:style>
  <w:style w:type="character" w:customStyle="1" w:styleId="255">
    <w:name w:val="标准文件_正文公式 Char"/>
    <w:link w:val="119"/>
    <w:autoRedefine/>
    <w:qFormat/>
    <w:uiPriority w:val="0"/>
    <w:rPr>
      <w:rFonts w:ascii="宋体" w:hAnsi="宋体" w:eastAsia="宋体" w:cs="Times New Roman"/>
      <w:szCs w:val="21"/>
    </w:rPr>
  </w:style>
  <w:style w:type="character" w:customStyle="1" w:styleId="256">
    <w:name w:val="标准文件_正文英文表标题 Char"/>
    <w:link w:val="121"/>
    <w:autoRedefine/>
    <w:qFormat/>
    <w:uiPriority w:val="0"/>
    <w:rPr>
      <w:rFonts w:ascii="黑体" w:hAnsi="Times New Roman" w:eastAsia="黑体" w:cs="Times New Roman"/>
      <w:kern w:val="0"/>
      <w:szCs w:val="20"/>
    </w:rPr>
  </w:style>
  <w:style w:type="character" w:customStyle="1" w:styleId="257">
    <w:name w:val="标准文件_五级条标题 Char"/>
    <w:link w:val="109"/>
    <w:autoRedefine/>
    <w:qFormat/>
    <w:uiPriority w:val="0"/>
    <w:rPr>
      <w:rFonts w:ascii="黑体" w:hAnsi="Times New Roman" w:eastAsia="黑体" w:cs="Times New Roman"/>
      <w:kern w:val="0"/>
      <w:szCs w:val="20"/>
    </w:rPr>
  </w:style>
  <w:style w:type="character" w:customStyle="1" w:styleId="258">
    <w:name w:val="标准文件_图表脚注 Char"/>
    <w:link w:val="107"/>
    <w:autoRedefine/>
    <w:qFormat/>
    <w:uiPriority w:val="0"/>
    <w:rPr>
      <w:rFonts w:ascii="宋体" w:hAnsi="宋体" w:eastAsia="宋体" w:cs="Times New Roman"/>
      <w:sz w:val="18"/>
      <w:szCs w:val="21"/>
    </w:rPr>
  </w:style>
  <w:style w:type="character" w:customStyle="1" w:styleId="259">
    <w:name w:val="标准文件_条文脚注 Char"/>
    <w:link w:val="106"/>
    <w:autoRedefine/>
    <w:qFormat/>
    <w:uiPriority w:val="0"/>
    <w:rPr>
      <w:rFonts w:ascii="宋体" w:hAnsi="宋体" w:eastAsia="宋体" w:cs="Times New Roman"/>
      <w:sz w:val="18"/>
      <w:szCs w:val="18"/>
    </w:rPr>
  </w:style>
  <w:style w:type="character" w:customStyle="1" w:styleId="260">
    <w:name w:val="标准文件_二级项 Char"/>
    <w:link w:val="177"/>
    <w:autoRedefine/>
    <w:qFormat/>
    <w:uiPriority w:val="0"/>
    <w:rPr>
      <w:rFonts w:ascii="宋体" w:hAnsi="Times New Roman" w:eastAsia="宋体" w:cs="Times New Roman"/>
      <w:kern w:val="0"/>
      <w:szCs w:val="20"/>
    </w:rPr>
  </w:style>
  <w:style w:type="character" w:customStyle="1" w:styleId="261">
    <w:name w:val="标准文件_四级条标题 Char"/>
    <w:link w:val="105"/>
    <w:autoRedefine/>
    <w:qFormat/>
    <w:uiPriority w:val="0"/>
    <w:rPr>
      <w:rFonts w:ascii="黑体" w:hAnsi="Times New Roman" w:eastAsia="黑体" w:cs="Times New Roman"/>
      <w:kern w:val="0"/>
      <w:szCs w:val="20"/>
    </w:rPr>
  </w:style>
  <w:style w:type="paragraph" w:styleId="262">
    <w:name w:val="List Paragraph"/>
    <w:basedOn w:val="1"/>
    <w:qFormat/>
    <w:uiPriority w:val="34"/>
    <w:pPr>
      <w:ind w:firstLine="420" w:firstLineChars="200"/>
    </w:pPr>
  </w:style>
  <w:style w:type="paragraph" w:customStyle="1" w:styleId="263">
    <w:name w:val="术语"/>
    <w:basedOn w:val="111"/>
    <w:link w:val="264"/>
    <w:autoRedefine/>
    <w:qFormat/>
    <w:uiPriority w:val="0"/>
    <w:pPr>
      <w:numPr>
        <w:ilvl w:val="0"/>
        <w:numId w:val="0"/>
      </w:numPr>
      <w:spacing w:before="0" w:beforeLines="0" w:after="0" w:afterLines="0"/>
      <w:ind w:firstLine="420"/>
    </w:pPr>
  </w:style>
  <w:style w:type="character" w:customStyle="1" w:styleId="264">
    <w:name w:val="术语 字符"/>
    <w:basedOn w:val="251"/>
    <w:link w:val="263"/>
    <w:qFormat/>
    <w:uiPriority w:val="0"/>
    <w:rPr>
      <w:rFonts w:ascii="黑体" w:hAnsi="Times New Roman" w:eastAsia="黑体" w:cs="Times New Roman"/>
      <w:kern w:val="0"/>
      <w:szCs w:val="20"/>
    </w:rPr>
  </w:style>
  <w:style w:type="character" w:customStyle="1" w:styleId="265">
    <w:name w:val="font31"/>
    <w:basedOn w:val="31"/>
    <w:qFormat/>
    <w:uiPriority w:val="0"/>
    <w:rPr>
      <w:rFonts w:hint="eastAsia" w:ascii="宋体" w:hAnsi="宋体" w:eastAsia="宋体"/>
      <w:b/>
      <w:bCs/>
      <w:color w:val="000000"/>
      <w:sz w:val="34"/>
      <w:szCs w:val="34"/>
      <w:u w:val="none"/>
    </w:rPr>
  </w:style>
  <w:style w:type="character" w:customStyle="1" w:styleId="266">
    <w:name w:val="font41"/>
    <w:basedOn w:val="31"/>
    <w:qFormat/>
    <w:uiPriority w:val="0"/>
    <w:rPr>
      <w:rFonts w:hint="eastAsia" w:ascii="宋体" w:hAnsi="宋体" w:eastAsia="宋体"/>
      <w:color w:val="000000"/>
      <w:sz w:val="34"/>
      <w:szCs w:val="34"/>
      <w:u w:val="none"/>
    </w:rPr>
  </w:style>
  <w:style w:type="character" w:customStyle="1" w:styleId="267">
    <w:name w:val="font21"/>
    <w:basedOn w:val="31"/>
    <w:qFormat/>
    <w:uiPriority w:val="0"/>
    <w:rPr>
      <w:rFonts w:ascii="宋体" w:hAnsi="宋体" w:eastAsia="宋体" w:cs="宋体"/>
      <w:color w:val="304040"/>
      <w:sz w:val="24"/>
      <w:szCs w:val="24"/>
      <w:u w:val="none"/>
    </w:rPr>
  </w:style>
  <w:style w:type="character" w:customStyle="1" w:styleId="268">
    <w:name w:val="font51"/>
    <w:basedOn w:val="31"/>
    <w:qFormat/>
    <w:uiPriority w:val="0"/>
    <w:rPr>
      <w:rFonts w:ascii="宋体" w:hAnsi="宋体" w:eastAsia="宋体" w:cs="宋体"/>
      <w:color w:val="000000"/>
      <w:sz w:val="18"/>
      <w:szCs w:val="18"/>
      <w:u w:val="none"/>
    </w:rPr>
  </w:style>
  <w:style w:type="character" w:customStyle="1" w:styleId="269">
    <w:name w:val="font61"/>
    <w:basedOn w:val="31"/>
    <w:qFormat/>
    <w:uiPriority w:val="0"/>
    <w:rPr>
      <w:rFonts w:ascii="宋体" w:hAnsi="宋体" w:eastAsia="宋体" w:cs="宋体"/>
      <w:b/>
      <w:bCs/>
      <w:color w:val="000000"/>
      <w:sz w:val="24"/>
      <w:szCs w:val="24"/>
      <w:u w:val="none"/>
    </w:rPr>
  </w:style>
  <w:style w:type="character" w:customStyle="1" w:styleId="270">
    <w:name w:val="font141"/>
    <w:basedOn w:val="31"/>
    <w:qFormat/>
    <w:uiPriority w:val="0"/>
    <w:rPr>
      <w:rFonts w:ascii="宋体" w:hAnsi="宋体" w:eastAsia="宋体" w:cs="宋体"/>
      <w:color w:val="000000"/>
      <w:sz w:val="24"/>
      <w:szCs w:val="24"/>
      <w:u w:val="none"/>
    </w:rPr>
  </w:style>
  <w:style w:type="character" w:customStyle="1" w:styleId="271">
    <w:name w:val="font71"/>
    <w:basedOn w:val="31"/>
    <w:qFormat/>
    <w:uiPriority w:val="0"/>
    <w:rPr>
      <w:rFonts w:ascii="宋体" w:hAnsi="宋体" w:eastAsia="宋体" w:cs="宋体"/>
      <w:color w:val="303040"/>
      <w:sz w:val="24"/>
      <w:szCs w:val="24"/>
      <w:u w:val="none"/>
    </w:rPr>
  </w:style>
  <w:style w:type="character" w:customStyle="1" w:styleId="272">
    <w:name w:val="font151"/>
    <w:basedOn w:val="31"/>
    <w:qFormat/>
    <w:uiPriority w:val="0"/>
    <w:rPr>
      <w:rFonts w:ascii="宋体" w:hAnsi="宋体" w:eastAsia="宋体" w:cs="宋体"/>
      <w:color w:val="000000"/>
      <w:sz w:val="18"/>
      <w:szCs w:val="18"/>
      <w:u w:val="none"/>
    </w:rPr>
  </w:style>
  <w:style w:type="character" w:customStyle="1" w:styleId="273">
    <w:name w:val="font91"/>
    <w:basedOn w:val="31"/>
    <w:qFormat/>
    <w:uiPriority w:val="0"/>
    <w:rPr>
      <w:rFonts w:ascii="宋体" w:hAnsi="宋体" w:eastAsia="宋体" w:cs="宋体"/>
      <w:color w:val="304040"/>
      <w:sz w:val="24"/>
      <w:szCs w:val="24"/>
      <w:u w:val="none"/>
    </w:rPr>
  </w:style>
  <w:style w:type="character" w:customStyle="1" w:styleId="274">
    <w:name w:val="font161"/>
    <w:basedOn w:val="31"/>
    <w:qFormat/>
    <w:uiPriority w:val="0"/>
    <w:rPr>
      <w:rFonts w:ascii="宋体" w:hAnsi="宋体" w:eastAsia="宋体" w:cs="宋体"/>
      <w:color w:val="204040"/>
      <w:sz w:val="18"/>
      <w:szCs w:val="18"/>
      <w:u w:val="none"/>
    </w:rPr>
  </w:style>
  <w:style w:type="character" w:customStyle="1" w:styleId="275">
    <w:name w:val="font101"/>
    <w:basedOn w:val="31"/>
    <w:qFormat/>
    <w:uiPriority w:val="0"/>
    <w:rPr>
      <w:rFonts w:hint="default" w:ascii="Calibri" w:hAnsi="Calibri" w:cs="Calibri"/>
      <w:color w:val="204040"/>
      <w:sz w:val="18"/>
      <w:szCs w:val="18"/>
      <w:u w:val="none"/>
    </w:rPr>
  </w:style>
  <w:style w:type="character" w:customStyle="1" w:styleId="276">
    <w:name w:val="font112"/>
    <w:basedOn w:val="31"/>
    <w:qFormat/>
    <w:uiPriority w:val="0"/>
    <w:rPr>
      <w:rFonts w:ascii="宋体" w:hAnsi="宋体" w:eastAsia="宋体" w:cs="宋体"/>
      <w:color w:val="304060"/>
      <w:sz w:val="24"/>
      <w:szCs w:val="24"/>
      <w:u w:val="none"/>
    </w:rPr>
  </w:style>
  <w:style w:type="character" w:customStyle="1" w:styleId="277">
    <w:name w:val="font121"/>
    <w:basedOn w:val="31"/>
    <w:qFormat/>
    <w:uiPriority w:val="0"/>
    <w:rPr>
      <w:rFonts w:ascii="宋体" w:hAnsi="宋体" w:eastAsia="宋体" w:cs="宋体"/>
      <w:color w:val="405060"/>
      <w:sz w:val="24"/>
      <w:szCs w:val="24"/>
      <w:u w:val="none"/>
    </w:rPr>
  </w:style>
  <w:style w:type="character" w:customStyle="1" w:styleId="278">
    <w:name w:val="font131"/>
    <w:basedOn w:val="31"/>
    <w:qFormat/>
    <w:uiPriority w:val="0"/>
    <w:rPr>
      <w:rFonts w:ascii="宋体" w:hAnsi="宋体" w:eastAsia="宋体" w:cs="宋体"/>
      <w:color w:val="204040"/>
      <w:sz w:val="24"/>
      <w:szCs w:val="24"/>
      <w:u w:val="none"/>
    </w:rPr>
  </w:style>
  <w:style w:type="character" w:customStyle="1" w:styleId="279">
    <w:name w:val="font171"/>
    <w:basedOn w:val="31"/>
    <w:qFormat/>
    <w:uiPriority w:val="0"/>
    <w:rPr>
      <w:rFonts w:ascii="宋体" w:hAnsi="宋体" w:eastAsia="宋体" w:cs="宋体"/>
      <w:b/>
      <w:bCs/>
      <w:color w:val="000000"/>
      <w:sz w:val="24"/>
      <w:szCs w:val="24"/>
      <w:u w:val="none"/>
    </w:rPr>
  </w:style>
  <w:style w:type="character" w:customStyle="1" w:styleId="280">
    <w:name w:val="font81"/>
    <w:basedOn w:val="31"/>
    <w:qFormat/>
    <w:uiPriority w:val="0"/>
    <w:rPr>
      <w:rFonts w:ascii="宋体" w:hAnsi="宋体" w:eastAsia="宋体" w:cs="宋体"/>
      <w:color w:val="000000"/>
      <w:sz w:val="24"/>
      <w:szCs w:val="24"/>
      <w:u w:val="none"/>
    </w:rPr>
  </w:style>
  <w:style w:type="character" w:customStyle="1" w:styleId="281">
    <w:name w:val="font181"/>
    <w:basedOn w:val="31"/>
    <w:qFormat/>
    <w:uiPriority w:val="0"/>
    <w:rPr>
      <w:rFonts w:ascii="宋体" w:hAnsi="宋体" w:eastAsia="宋体" w:cs="宋体"/>
      <w:color w:val="607060"/>
      <w:sz w:val="24"/>
      <w:szCs w:val="24"/>
      <w:u w:val="none"/>
    </w:rPr>
  </w:style>
  <w:style w:type="character" w:customStyle="1" w:styleId="282">
    <w:name w:val="font191"/>
    <w:basedOn w:val="31"/>
    <w:qFormat/>
    <w:uiPriority w:val="0"/>
    <w:rPr>
      <w:rFonts w:ascii="宋体" w:hAnsi="宋体" w:eastAsia="宋体" w:cs="宋体"/>
      <w:color w:val="404050"/>
      <w:sz w:val="24"/>
      <w:szCs w:val="24"/>
      <w:u w:val="none"/>
    </w:rPr>
  </w:style>
  <w:style w:type="character" w:customStyle="1" w:styleId="283">
    <w:name w:val="font211"/>
    <w:basedOn w:val="31"/>
    <w:qFormat/>
    <w:uiPriority w:val="0"/>
    <w:rPr>
      <w:rFonts w:ascii="宋体" w:hAnsi="宋体" w:eastAsia="宋体" w:cs="宋体"/>
      <w:color w:val="203040"/>
      <w:sz w:val="24"/>
      <w:szCs w:val="24"/>
      <w:u w:val="none"/>
    </w:rPr>
  </w:style>
  <w:style w:type="character" w:customStyle="1" w:styleId="284">
    <w:name w:val="font221"/>
    <w:basedOn w:val="31"/>
    <w:qFormat/>
    <w:uiPriority w:val="0"/>
    <w:rPr>
      <w:rFonts w:ascii="宋体" w:hAnsi="宋体" w:eastAsia="宋体" w:cs="宋体"/>
      <w:color w:val="606060"/>
      <w:sz w:val="24"/>
      <w:szCs w:val="24"/>
      <w:u w:val="none"/>
    </w:rPr>
  </w:style>
  <w:style w:type="character" w:customStyle="1" w:styleId="285">
    <w:name w:val="font201"/>
    <w:basedOn w:val="31"/>
    <w:qFormat/>
    <w:uiPriority w:val="0"/>
    <w:rPr>
      <w:rFonts w:ascii="宋体" w:hAnsi="宋体" w:eastAsia="宋体" w:cs="宋体"/>
      <w:color w:val="505060"/>
      <w:sz w:val="24"/>
      <w:szCs w:val="24"/>
      <w:u w:val="none"/>
    </w:rPr>
  </w:style>
  <w:style w:type="character" w:customStyle="1" w:styleId="286">
    <w:name w:val="标准文件_注： Char"/>
    <w:link w:val="185"/>
    <w:qFormat/>
    <w:uiPriority w:val="0"/>
    <w:rPr>
      <w:rFonts w:ascii="宋体" w:hAnsi="Times New Roman" w:eastAsia="宋体" w:cs="Times New Roman"/>
      <w:kern w:val="0"/>
      <w:sz w:val="18"/>
      <w:szCs w:val="18"/>
    </w:rPr>
  </w:style>
  <w:style w:type="character" w:customStyle="1" w:styleId="287">
    <w:name w:val="标准文件_注×： Char"/>
    <w:link w:val="186"/>
    <w:qFormat/>
    <w:uiPriority w:val="0"/>
    <w:rPr>
      <w:rFonts w:ascii="宋体" w:hAnsi="Times New Roman" w:eastAsia="宋体" w:cs="Times New Roman"/>
      <w:kern w:val="0"/>
      <w:sz w:val="18"/>
      <w:szCs w:val="18"/>
    </w:rPr>
  </w:style>
  <w:style w:type="paragraph" w:customStyle="1" w:styleId="288">
    <w:name w:val="表格文字"/>
    <w:basedOn w:val="1"/>
    <w:link w:val="289"/>
    <w:autoRedefine/>
    <w:qFormat/>
    <w:uiPriority w:val="0"/>
    <w:pPr>
      <w:widowControl/>
      <w:autoSpaceDE w:val="0"/>
      <w:autoSpaceDN w:val="0"/>
      <w:adjustRightInd/>
      <w:spacing w:line="240" w:lineRule="auto"/>
      <w:jc w:val="center"/>
    </w:pPr>
    <w:rPr>
      <w:rFonts w:ascii="宋体" w:hAnsi="Times New Roman"/>
      <w:kern w:val="0"/>
      <w:sz w:val="18"/>
      <w:szCs w:val="20"/>
    </w:rPr>
  </w:style>
  <w:style w:type="character" w:customStyle="1" w:styleId="289">
    <w:name w:val="表格文字 字符"/>
    <w:basedOn w:val="31"/>
    <w:link w:val="288"/>
    <w:qFormat/>
    <w:uiPriority w:val="0"/>
    <w:rPr>
      <w:rFonts w:ascii="宋体" w:hAnsi="Times New Roman" w:eastAsia="宋体" w:cs="Times New Roman"/>
      <w:kern w:val="0"/>
      <w:sz w:val="18"/>
      <w:szCs w:val="20"/>
    </w:rPr>
  </w:style>
  <w:style w:type="character" w:customStyle="1" w:styleId="290">
    <w:name w:val="标准文件_附录标识 Char"/>
    <w:link w:val="84"/>
    <w:qFormat/>
    <w:uiPriority w:val="0"/>
    <w:rPr>
      <w:rFonts w:ascii="黑体" w:hAnsi="Times New Roman" w:eastAsia="黑体" w:cs="Times New Roman"/>
      <w:kern w:val="0"/>
      <w:szCs w:val="20"/>
      <w:shd w:val="clear" w:color="FFFFFF" w:fill="FFFFFF"/>
    </w:rPr>
  </w:style>
  <w:style w:type="character" w:customStyle="1" w:styleId="291">
    <w:name w:val="标准文件_附录表标题 Char"/>
    <w:link w:val="85"/>
    <w:qFormat/>
    <w:uiPriority w:val="0"/>
    <w:rPr>
      <w:rFonts w:ascii="黑体" w:hAnsi="Times New Roman" w:eastAsia="黑体" w:cs="Times New Roman"/>
      <w:kern w:val="21"/>
      <w:szCs w:val="20"/>
    </w:rPr>
  </w:style>
  <w:style w:type="paragraph" w:customStyle="1" w:styleId="292">
    <w:name w:val="修订1"/>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0" Type="http://schemas.openxmlformats.org/officeDocument/2006/relationships/glossaryDocument" Target="glossary/document.xml"/><Relationship Id="rId7" Type="http://schemas.openxmlformats.org/officeDocument/2006/relationships/footer" Target="footer1.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38.jpeg"/><Relationship Id="rId65" Type="http://schemas.openxmlformats.org/officeDocument/2006/relationships/image" Target="media/image37.png"/><Relationship Id="rId64" Type="http://schemas.openxmlformats.org/officeDocument/2006/relationships/image" Target="media/image36.png"/><Relationship Id="rId63" Type="http://schemas.openxmlformats.org/officeDocument/2006/relationships/image" Target="media/image35.png"/><Relationship Id="rId62" Type="http://schemas.openxmlformats.org/officeDocument/2006/relationships/image" Target="media/image34.png"/><Relationship Id="rId61" Type="http://schemas.openxmlformats.org/officeDocument/2006/relationships/image" Target="media/image33.png"/><Relationship Id="rId60" Type="http://schemas.openxmlformats.org/officeDocument/2006/relationships/image" Target="media/image32.png"/><Relationship Id="rId6" Type="http://schemas.openxmlformats.org/officeDocument/2006/relationships/header" Target="header2.xml"/><Relationship Id="rId59" Type="http://schemas.openxmlformats.org/officeDocument/2006/relationships/image" Target="media/image31.png"/><Relationship Id="rId58" Type="http://schemas.openxmlformats.org/officeDocument/2006/relationships/image" Target="media/image30.png"/><Relationship Id="rId57" Type="http://schemas.openxmlformats.org/officeDocument/2006/relationships/image" Target="media/image29.png"/><Relationship Id="rId56" Type="http://schemas.openxmlformats.org/officeDocument/2006/relationships/image" Target="media/image28.png"/><Relationship Id="rId55" Type="http://schemas.openxmlformats.org/officeDocument/2006/relationships/image" Target="media/image27.png"/><Relationship Id="rId54" Type="http://schemas.openxmlformats.org/officeDocument/2006/relationships/image" Target="media/image26.png"/><Relationship Id="rId53" Type="http://schemas.openxmlformats.org/officeDocument/2006/relationships/image" Target="media/image25.png"/><Relationship Id="rId52" Type="http://schemas.openxmlformats.org/officeDocument/2006/relationships/image" Target="media/image24.png"/><Relationship Id="rId51" Type="http://schemas.openxmlformats.org/officeDocument/2006/relationships/image" Target="media/image23.png"/><Relationship Id="rId50" Type="http://schemas.openxmlformats.org/officeDocument/2006/relationships/image" Target="media/image22.png"/><Relationship Id="rId5" Type="http://schemas.openxmlformats.org/officeDocument/2006/relationships/header" Target="header1.xml"/><Relationship Id="rId49" Type="http://schemas.openxmlformats.org/officeDocument/2006/relationships/image" Target="media/image21.png"/><Relationship Id="rId48" Type="http://schemas.openxmlformats.org/officeDocument/2006/relationships/image" Target="media/image20.png"/><Relationship Id="rId47" Type="http://schemas.openxmlformats.org/officeDocument/2006/relationships/image" Target="media/image19.png"/><Relationship Id="rId46" Type="http://schemas.openxmlformats.org/officeDocument/2006/relationships/image" Target="media/image18.png"/><Relationship Id="rId45" Type="http://schemas.openxmlformats.org/officeDocument/2006/relationships/image" Target="media/image17.png"/><Relationship Id="rId44" Type="http://schemas.openxmlformats.org/officeDocument/2006/relationships/image" Target="media/image16.png"/><Relationship Id="rId43" Type="http://schemas.openxmlformats.org/officeDocument/2006/relationships/image" Target="media/image15.png"/><Relationship Id="rId42" Type="http://schemas.openxmlformats.org/officeDocument/2006/relationships/image" Target="media/image14.png"/><Relationship Id="rId41" Type="http://schemas.openxmlformats.org/officeDocument/2006/relationships/image" Target="media/image13.png"/><Relationship Id="rId40" Type="http://schemas.openxmlformats.org/officeDocument/2006/relationships/image" Target="media/image12.png"/><Relationship Id="rId4" Type="http://schemas.openxmlformats.org/officeDocument/2006/relationships/endnotes" Target="endnotes.xml"/><Relationship Id="rId39" Type="http://schemas.openxmlformats.org/officeDocument/2006/relationships/oleObject" Target="embeddings/oleObject8.bin"/><Relationship Id="rId38" Type="http://schemas.openxmlformats.org/officeDocument/2006/relationships/oleObject" Target="embeddings/oleObject7.bin"/><Relationship Id="rId37" Type="http://schemas.openxmlformats.org/officeDocument/2006/relationships/oleObject" Target="embeddings/oleObject6.bin"/><Relationship Id="rId36" Type="http://schemas.openxmlformats.org/officeDocument/2006/relationships/image" Target="media/image11.emf"/><Relationship Id="rId35" Type="http://schemas.openxmlformats.org/officeDocument/2006/relationships/oleObject" Target="embeddings/oleObject5.bin"/><Relationship Id="rId34" Type="http://schemas.openxmlformats.org/officeDocument/2006/relationships/image" Target="media/image10.png"/><Relationship Id="rId33" Type="http://schemas.openxmlformats.org/officeDocument/2006/relationships/image" Target="media/image9.emf"/><Relationship Id="rId32" Type="http://schemas.openxmlformats.org/officeDocument/2006/relationships/oleObject" Target="embeddings/oleObject4.bin"/><Relationship Id="rId31" Type="http://schemas.openxmlformats.org/officeDocument/2006/relationships/image" Target="media/image8.emf"/><Relationship Id="rId30" Type="http://schemas.openxmlformats.org/officeDocument/2006/relationships/oleObject" Target="embeddings/oleObject3.bin"/><Relationship Id="rId3" Type="http://schemas.openxmlformats.org/officeDocument/2006/relationships/footnotes" Target="footnotes.xml"/><Relationship Id="rId29" Type="http://schemas.openxmlformats.org/officeDocument/2006/relationships/image" Target="media/image7.emf"/><Relationship Id="rId28" Type="http://schemas.openxmlformats.org/officeDocument/2006/relationships/oleObject" Target="embeddings/oleObject2.bin"/><Relationship Id="rId27" Type="http://schemas.openxmlformats.org/officeDocument/2006/relationships/image" Target="media/image6.emf"/><Relationship Id="rId26" Type="http://schemas.openxmlformats.org/officeDocument/2006/relationships/oleObject" Target="embeddings/oleObject1.bin"/><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64679F935674F3AAF664F2D9EE905CD"/>
        <w:style w:val=""/>
        <w:category>
          <w:name w:val="常规"/>
          <w:gallery w:val="placeholder"/>
        </w:category>
        <w:types>
          <w:type w:val="bbPlcHdr"/>
        </w:types>
        <w:behaviors>
          <w:behavior w:val="content"/>
        </w:behaviors>
        <w:description w:val=""/>
        <w:guid w:val="{18CE9957-8D0F-4E5D-8A13-83A5F69808F8}"/>
      </w:docPartPr>
      <w:docPartBody>
        <w:p w14:paraId="2FEB41AD">
          <w:pPr>
            <w:pStyle w:val="5"/>
          </w:pPr>
          <w:r>
            <w:rPr>
              <w:rStyle w:val="4"/>
              <w:rFonts w:hint="eastAsia"/>
            </w:rPr>
            <w:t>单击或点击此处输入文字。</w:t>
          </w:r>
        </w:p>
      </w:docPartBody>
    </w:docPart>
    <w:docPart>
      <w:docPartPr>
        <w:name w:val="96BAE512D6244C93B11C9226217C537B"/>
        <w:style w:val=""/>
        <w:category>
          <w:name w:val="常规"/>
          <w:gallery w:val="placeholder"/>
        </w:category>
        <w:types>
          <w:type w:val="bbPlcHdr"/>
        </w:types>
        <w:behaviors>
          <w:behavior w:val="content"/>
        </w:behaviors>
        <w:description w:val=""/>
        <w:guid w:val="{A2188541-1533-4028-9387-AC8DB1EA9E8B}"/>
      </w:docPartPr>
      <w:docPartBody>
        <w:p w14:paraId="34598D5F">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870"/>
    <w:rsid w:val="001942D9"/>
    <w:rsid w:val="00463400"/>
    <w:rsid w:val="00536870"/>
    <w:rsid w:val="0066295E"/>
    <w:rsid w:val="009E60FA"/>
    <w:rsid w:val="00C832FC"/>
    <w:rsid w:val="00D576CA"/>
    <w:rsid w:val="00D83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964679F935674F3AAF664F2D9EE905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6BAE512D6244C93B11C9226217C537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6286</Words>
  <Characters>7485</Characters>
  <Lines>631</Lines>
  <Paragraphs>519</Paragraphs>
  <TotalTime>0</TotalTime>
  <ScaleCrop>false</ScaleCrop>
  <LinksUpToDate>false</LinksUpToDate>
  <CharactersWithSpaces>7783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2025-11-28T06:04:00Z</dcterms:created>
  <dc:creator>lenovo</dc:creator>
  <cp:lastModifiedBy>标准部-李晓宇</cp:lastModifiedBy>
  <cp:lastPrinted>2025-11-30T03:04:00Z</cp:lastPrinted>
  <dcterms:modified xsi:type="dcterms:W3CDTF">2026-05-11T06:04:37Z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eyJoZGlkIjoiMTM4ZDdmYjY2NDkyZjIzNDhmODIzZWE0NTA3ZGVjNGEiLCJ1c2VySWQiOiI1OTIzNDQ4MDEifQ==</vt:lpwstr>
  </property>
  <property fmtid="{D5CDD505-2E9C-101B-9397-08002B2CF9AE}" pid="3" name="KSOProductBuildVer">
    <vt:lpwstr>2052-12.1.0.26375</vt:lpwstr>
  </property>
  <property fmtid="{D5CDD505-2E9C-101B-9397-08002B2CF9AE}" pid="4" name="ICV">
    <vt:lpwstr>8DA898CDAB09444097DD0477B5B72CA7_13</vt:lpwstr>
  </property>
</Properties>
</file>