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A14AE">
      <w:pPr>
        <w:spacing w:before="156" w:beforeLines="50" w:after="156" w:afterLines="50" w:line="240" w:lineRule="auto"/>
        <w:jc w:val="center"/>
        <w:rPr>
          <w:rFonts w:hint="eastAsia" w:ascii="宋体" w:hAnsi="宋体" w:eastAsia="宋体" w:cs="宋体"/>
          <w:sz w:val="44"/>
          <w:szCs w:val="44"/>
        </w:rPr>
      </w:pPr>
      <w:r>
        <w:rPr>
          <w:rFonts w:hint="eastAsia" w:ascii="宋体" w:hAnsi="宋体" w:eastAsia="宋体" w:cs="宋体"/>
          <w:sz w:val="44"/>
          <w:szCs w:val="44"/>
        </w:rPr>
        <w:t>《电子级高纯化学品用不锈钢焊接容器</w:t>
      </w:r>
    </w:p>
    <w:p w14:paraId="53D57E9B">
      <w:pPr>
        <w:spacing w:before="156" w:beforeLines="50" w:after="156" w:afterLines="50" w:line="240" w:lineRule="auto"/>
        <w:jc w:val="center"/>
        <w:rPr>
          <w:rFonts w:hint="eastAsia" w:ascii="宋体" w:hAnsi="宋体" w:eastAsia="宋体" w:cs="宋体"/>
          <w:sz w:val="44"/>
          <w:szCs w:val="44"/>
        </w:rPr>
      </w:pPr>
      <w:bookmarkStart w:id="0" w:name="_GoBack"/>
      <w:bookmarkEnd w:id="0"/>
      <w:r>
        <w:rPr>
          <w:rFonts w:hint="eastAsia" w:ascii="宋体" w:hAnsi="宋体" w:eastAsia="宋体" w:cs="宋体"/>
          <w:sz w:val="44"/>
          <w:szCs w:val="44"/>
        </w:rPr>
        <w:t>技术规范》</w:t>
      </w:r>
    </w:p>
    <w:p w14:paraId="6194D0B5">
      <w:pPr>
        <w:spacing w:before="156" w:beforeLines="50" w:after="156" w:afterLines="50" w:line="240" w:lineRule="auto"/>
        <w:jc w:val="cente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（征求意见稿）</w:t>
      </w:r>
    </w:p>
    <w:p w14:paraId="4D6DE6E4">
      <w:pPr>
        <w:spacing w:before="156" w:beforeLines="50" w:after="156" w:afterLines="50" w:line="240" w:lineRule="auto"/>
        <w:jc w:val="center"/>
        <w:rPr>
          <w:rFonts w:hint="eastAsia" w:ascii="Times New Roman" w:hAnsi="Times New Roman" w:eastAsia="黑体"/>
          <w:sz w:val="32"/>
          <w:szCs w:val="32"/>
          <w:lang w:eastAsia="zh-CN"/>
        </w:rPr>
      </w:pPr>
      <w:r>
        <w:rPr>
          <w:rFonts w:hint="eastAsia" w:ascii="Times New Roman" w:hAnsi="Times New Roman" w:eastAsia="黑体"/>
          <w:sz w:val="32"/>
          <w:szCs w:val="32"/>
          <w:lang w:val="en-US" w:eastAsia="zh-CN"/>
        </w:rPr>
        <w:t>编制说明</w:t>
      </w:r>
    </w:p>
    <w:p w14:paraId="134EB349">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工作简况</w:t>
      </w:r>
    </w:p>
    <w:p w14:paraId="4FD900D8">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（一）任务来源</w:t>
      </w:r>
    </w:p>
    <w:p w14:paraId="3CAA0B36">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本项目根据中国欧洲经济技术合作协会</w:t>
      </w:r>
      <w:r>
        <w:rPr>
          <w:rFonts w:hint="eastAsia" w:ascii="宋体" w:hAnsi="宋体" w:eastAsia="宋体" w:cs="宋体"/>
          <w:highlight w:val="none"/>
          <w:lang w:val="en-US"/>
        </w:rPr>
        <w:t>20</w:t>
      </w:r>
      <w:r>
        <w:rPr>
          <w:rFonts w:hint="eastAsia" w:ascii="宋体" w:hAnsi="宋体" w:eastAsia="宋体" w:cs="宋体"/>
          <w:highlight w:val="none"/>
          <w:lang w:val="en-US" w:eastAsia="zh-CN"/>
        </w:rPr>
        <w:t>2</w:t>
      </w:r>
      <w:r>
        <w:rPr>
          <w:rFonts w:hint="eastAsia" w:ascii="宋体" w:hAnsi="宋体" w:cs="宋体"/>
          <w:highlight w:val="none"/>
          <w:lang w:val="en-US" w:eastAsia="zh-CN"/>
        </w:rPr>
        <w:t>6</w:t>
      </w:r>
      <w:r>
        <w:rPr>
          <w:rFonts w:hint="eastAsia" w:ascii="宋体" w:hAnsi="宋体" w:eastAsia="宋体" w:cs="宋体"/>
          <w:highlight w:val="none"/>
          <w:lang w:val="en-US"/>
        </w:rPr>
        <w:t>年团</w:t>
      </w:r>
      <w:r>
        <w:rPr>
          <w:rFonts w:hint="eastAsia" w:ascii="宋体" w:hAnsi="宋体" w:eastAsia="宋体" w:cs="宋体"/>
          <w:lang w:val="en-US"/>
        </w:rPr>
        <w:t>体标准制定计划</w:t>
      </w:r>
      <w:r>
        <w:rPr>
          <w:rFonts w:hint="eastAsia" w:ascii="宋体" w:hAnsi="宋体" w:eastAsia="宋体" w:cs="宋体"/>
          <w:highlight w:val="none"/>
          <w:lang w:val="en-US"/>
        </w:rPr>
        <w:t>，</w:t>
      </w:r>
      <w:r>
        <w:rPr>
          <w:rFonts w:hint="eastAsia" w:ascii="宋体" w:hAnsi="宋体" w:eastAsia="宋体" w:cs="宋体"/>
          <w:lang w:val="en-US"/>
        </w:rPr>
        <w:t>项目名称为《电子级高纯化学品用不锈钢焊接容器技术规范》</w:t>
      </w:r>
      <w:r>
        <w:rPr>
          <w:rFonts w:hint="eastAsia" w:ascii="宋体" w:hAnsi="宋体" w:cs="宋体"/>
          <w:lang w:val="en-US" w:eastAsia="zh-CN"/>
        </w:rPr>
        <w:t>项目计划号T/CEATEC-2026-122</w:t>
      </w:r>
      <w:r>
        <w:rPr>
          <w:rFonts w:hint="eastAsia" w:ascii="宋体" w:hAnsi="宋体" w:eastAsia="宋体" w:cs="宋体"/>
          <w:lang w:val="en-US"/>
        </w:rPr>
        <w:t>的任务而进行制订。</w:t>
      </w:r>
    </w:p>
    <w:p w14:paraId="50A1A6A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ascii="仿宋" w:hAnsi="仿宋" w:eastAsia="仿宋" w:cs="仿宋"/>
          <w:b/>
          <w:bCs/>
          <w:color w:val="000000" w:themeColor="text1"/>
          <w:sz w:val="28"/>
          <w:szCs w:val="28"/>
          <w14:textFill>
            <w14:solidFill>
              <w14:schemeClr w14:val="tx1"/>
            </w14:solidFill>
          </w14:textFill>
        </w:rPr>
        <w:t>（二）起草单位及主要起草人</w:t>
      </w:r>
    </w:p>
    <w:p w14:paraId="166DD15D">
      <w:pPr>
        <w:pStyle w:val="9"/>
        <w:widowControl/>
        <w:spacing w:beforeAutospacing="0" w:afterAutospacing="0" w:line="520" w:lineRule="exact"/>
        <w:ind w:firstLine="480" w:firstLineChars="200"/>
        <w:jc w:val="both"/>
        <w:rPr>
          <w:rFonts w:hint="eastAsia" w:ascii="宋体" w:hAnsi="宋体" w:eastAsia="宋体" w:cs="宋体"/>
          <w:highlight w:val="none"/>
          <w:lang w:val="en-US"/>
        </w:rPr>
      </w:pPr>
      <w:r>
        <w:rPr>
          <w:rFonts w:hint="eastAsia" w:ascii="宋体" w:hAnsi="宋体" w:eastAsia="宋体" w:cs="宋体"/>
          <w:highlight w:val="none"/>
          <w:lang w:val="en-US"/>
        </w:rPr>
        <w:t>本文件起草单位：江苏容导半导体科技有限公司</w:t>
      </w:r>
      <w:r>
        <w:rPr>
          <w:rFonts w:hint="eastAsia" w:ascii="宋体" w:hAnsi="宋体" w:cs="宋体"/>
          <w:highlight w:val="none"/>
          <w:lang w:val="en-US" w:eastAsia="zh-CN"/>
        </w:rPr>
        <w:t>、</w:t>
      </w:r>
      <w:r>
        <w:rPr>
          <w:rFonts w:hint="eastAsia" w:ascii="宋体" w:hAnsi="宋体" w:eastAsia="宋体" w:cs="宋体"/>
          <w:highlight w:val="none"/>
          <w:lang w:val="en-US"/>
        </w:rPr>
        <w:t>常州容导精密装备有限公司</w:t>
      </w:r>
      <w:r>
        <w:rPr>
          <w:rFonts w:hint="eastAsia" w:ascii="宋体" w:hAnsi="宋体" w:cs="宋体"/>
          <w:highlight w:val="none"/>
          <w:lang w:val="en-US" w:eastAsia="zh-CN"/>
        </w:rPr>
        <w:t>、</w:t>
      </w:r>
      <w:r>
        <w:rPr>
          <w:rFonts w:hint="eastAsia" w:ascii="宋体" w:hAnsi="宋体" w:eastAsia="宋体" w:cs="宋体"/>
          <w:highlight w:val="none"/>
          <w:lang w:val="en-US"/>
        </w:rPr>
        <w:t>浙江镇田机械有限公司</w:t>
      </w:r>
      <w:r>
        <w:rPr>
          <w:rFonts w:hint="eastAsia" w:ascii="宋体" w:hAnsi="宋体" w:cs="宋体"/>
          <w:highlight w:val="none"/>
          <w:lang w:val="en-US" w:eastAsia="zh-CN"/>
        </w:rPr>
        <w:t>、</w:t>
      </w:r>
      <w:r>
        <w:rPr>
          <w:rFonts w:hint="eastAsia" w:ascii="宋体" w:hAnsi="宋体" w:eastAsia="宋体" w:cs="宋体"/>
          <w:highlight w:val="none"/>
          <w:lang w:val="en-US"/>
        </w:rPr>
        <w:t>昆山新莱洁净应用材料股份有限公司。</w:t>
      </w:r>
    </w:p>
    <w:p w14:paraId="718A9020">
      <w:pPr>
        <w:pStyle w:val="9"/>
        <w:widowControl/>
        <w:spacing w:beforeAutospacing="0" w:afterAutospacing="0" w:line="520" w:lineRule="exact"/>
        <w:ind w:firstLine="480" w:firstLineChars="200"/>
        <w:jc w:val="both"/>
        <w:rPr>
          <w:rFonts w:hint="eastAsia" w:ascii="宋体" w:hAnsi="宋体" w:eastAsia="宋体" w:cs="宋体"/>
          <w:highlight w:val="none"/>
          <w:lang w:val="en-US"/>
        </w:rPr>
      </w:pPr>
      <w:r>
        <w:rPr>
          <w:rFonts w:hint="eastAsia" w:ascii="宋体" w:hAnsi="宋体" w:eastAsia="宋体" w:cs="宋体"/>
          <w:highlight w:val="none"/>
          <w:lang w:val="en-US"/>
        </w:rPr>
        <w:t>本文件</w:t>
      </w:r>
      <w:r>
        <w:rPr>
          <w:rFonts w:hint="eastAsia" w:ascii="宋体" w:hAnsi="宋体" w:eastAsia="宋体" w:cs="宋体"/>
          <w:highlight w:val="none"/>
          <w:lang w:val="en-US" w:eastAsia="zh-CN"/>
        </w:rPr>
        <w:t>主要</w:t>
      </w:r>
      <w:r>
        <w:rPr>
          <w:rFonts w:hint="eastAsia" w:ascii="宋体" w:hAnsi="宋体" w:eastAsia="宋体" w:cs="宋体"/>
          <w:highlight w:val="none"/>
          <w:lang w:val="en-US"/>
        </w:rPr>
        <w:t>起草人：董兴玉、刘民、陆翔、王仲恺、何永宁、项光武、阳章、范志旻。</w:t>
      </w:r>
    </w:p>
    <w:p w14:paraId="58F93C67">
      <w:pPr>
        <w:pStyle w:val="3"/>
        <w:numPr>
          <w:ilvl w:val="0"/>
          <w:numId w:val="0"/>
        </w:numPr>
        <w:spacing w:line="360" w:lineRule="auto"/>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三</w:t>
      </w: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标准制定目的和意义</w:t>
      </w:r>
    </w:p>
    <w:p w14:paraId="646388F3">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从产业角度分析，制定《电子级高纯化学品用不锈钢焊接容器技术规范》团体标准的目的和意义主要体现在以下几个方面：</w:t>
      </w:r>
    </w:p>
    <w:p w14:paraId="53F75B36">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eastAsia="zh-CN"/>
        </w:rPr>
        <w:t>1.</w:t>
      </w:r>
      <w:r>
        <w:rPr>
          <w:rFonts w:hint="eastAsia" w:ascii="宋体" w:hAnsi="宋体" w:eastAsia="宋体" w:cs="宋体"/>
          <w:lang w:val="en-US"/>
        </w:rPr>
        <w:t>目的</w:t>
      </w:r>
    </w:p>
    <w:p w14:paraId="0F4340EE">
      <w:pPr>
        <w:pStyle w:val="9"/>
        <w:widowControl/>
        <w:spacing w:beforeAutospacing="0" w:afterAutospacing="0" w:line="520" w:lineRule="exact"/>
        <w:ind w:firstLine="480" w:firstLineChars="200"/>
        <w:jc w:val="both"/>
        <w:rPr>
          <w:rFonts w:ascii="宋体" w:hAnsi="宋体" w:eastAsia="宋体" w:cs="宋体"/>
          <w:sz w:val="24"/>
          <w:szCs w:val="24"/>
        </w:rPr>
      </w:pPr>
      <w:r>
        <w:rPr>
          <w:rFonts w:hint="eastAsia" w:ascii="宋体" w:hAnsi="宋体" w:eastAsia="宋体" w:cs="宋体"/>
          <w:sz w:val="24"/>
          <w:szCs w:val="24"/>
        </w:rPr>
        <w:t>电子级高纯化学品不锈钢焊接容器是半导体、显示面板、光伏新能源、集成电路等电子制造领域核心储运装备，直接承担高纯试剂、特种气体、电子溶剂等关键物料的密闭储存、中转与输送功能，其内壁清洁度、颗粒物控制、金属离子析出、有机物残留等指标，直接决定电子级化学品纯度与电子元器件制造良率。该类容器广泛应用于晶圆制造、光刻、蚀刻、薄膜沉积等精密制程，必须满足超低颗粒物、无重金属污染、无有机残留、耐酸碱腐蚀、焊接无死角洁净等严苛要求，是电子化学品产业链安全稳定运行的关键基础装备。</w:t>
      </w:r>
    </w:p>
    <w:p w14:paraId="10C7BE68">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早期电子级化学品储运容器多依赖进口，清洁度标准与检测方法不统一，国产容器因焊接工艺、内壁处理、清洗流程、检测手段参差不齐，难以满足10nm及以下先进制程要求。随着我国半导体与电子信息产业高速发展，电子级高纯化学品需求爆发式增长，不锈钢焊接容器朝着超洁净、高精度、高耐蚀、易清洁、可溯源方向快速升级，国产化替代进程持续加快。</w:t>
      </w:r>
    </w:p>
    <w:p w14:paraId="50BD02FC">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当前行业缺乏电子级高纯化学品专用不锈钢焊接容器清洁度的统一检测与验收规范，现有标准偏向通用化工容器，未针对电子级场景制定颗粒物、离子析出、TOC、焊接死角、内表面粗糙度等关键限值，导致不同厂家产品清洁度差异巨大，部分产品存在虚标清洁等级、清洗不彻底、焊接残留、检测方法不统一等问题，既增加电子企业选型与验证成本，也因容器污染引发物料报废、制程缺陷、良率下降等风险，严重制约电子化学品供应链自主可控与高端制造升级。制定本标准的必要性体现在：统一清洁度检测方法、判定指标与验收规则，划定行业质量底线；规范容器设计、焊接、清洗、钝化、包装全流程洁净管控；提升国产容器兼容性、可靠性与可追溯性，降低电子企业验证与运维成本；引导行业聚焦洁净技术创新，支撑高端电子制造产业高质量发展。</w:t>
      </w:r>
    </w:p>
    <w:p w14:paraId="03422FB4">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eastAsia="zh-CN"/>
        </w:rPr>
        <w:t>2.</w:t>
      </w:r>
      <w:r>
        <w:rPr>
          <w:rFonts w:hint="eastAsia" w:ascii="宋体" w:hAnsi="宋体" w:eastAsia="宋体" w:cs="宋体"/>
          <w:lang w:val="en-US"/>
        </w:rPr>
        <w:t>意义</w:t>
      </w:r>
    </w:p>
    <w:p w14:paraId="3FE97B18">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国家高度重视电子信息产业与关键新材料自主可控，陆续出台《“十四五”原材料工业发展规划》《关于推动能源电子产业发展的指导意见》等政策，明确将电子级高纯化学品储运装备、超洁净处理技术、精密检测方法列为重点攻关方向，要求加快电子化学品领域标准体系建设，完善关键装备检测与验收规范。制定本标准，是落实国家产业政策、补齐电子化学品装备标准短板的重要举措，可为半导体、显示、光伏等领域提供统一、科学、可落地的清洁度管控依据，推动国产不锈钢焊接容器达到国际先进水平，保障电子级化学品供应链安全，提升我国在高端电子制造领域的核心竞争力，具有显著产业价值与战略意义。</w:t>
      </w:r>
    </w:p>
    <w:p w14:paraId="1A56508C">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（四）主要工作过程</w:t>
      </w:r>
    </w:p>
    <w:p w14:paraId="43685BE8">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1.前期准备工作</w:t>
      </w:r>
    </w:p>
    <w:p w14:paraId="39DEC089">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项目立项前，标准编制小组查阅、研读相关国内外文献，广泛搜集相关的材料。同时，标准编制小组安排相关人员，多次与相关行业人员进行调研、交流，广泛征求标准制定方面的意见和建议。</w:t>
      </w:r>
    </w:p>
    <w:p w14:paraId="1011C0BA">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cs="宋体"/>
          <w:lang w:val="en-US" w:eastAsia="zh-CN"/>
        </w:rPr>
        <w:t>22</w:t>
      </w:r>
      <w:r>
        <w:rPr>
          <w:rFonts w:hint="eastAsia" w:ascii="宋体" w:hAnsi="宋体" w:eastAsia="宋体" w:cs="宋体"/>
          <w:lang w:val="en-US" w:eastAsia="zh-CN"/>
        </w:rPr>
        <w:t>日</w:t>
      </w:r>
      <w:r>
        <w:rPr>
          <w:rFonts w:hint="eastAsia" w:ascii="宋体" w:hAnsi="宋体" w:cs="宋体"/>
          <w:lang w:val="en-US" w:eastAsia="zh-CN"/>
        </w:rPr>
        <w:t>，</w:t>
      </w:r>
      <w:r>
        <w:rPr>
          <w:rFonts w:hint="eastAsia" w:ascii="宋体" w:hAnsi="宋体" w:eastAsia="宋体" w:cs="宋体"/>
          <w:lang w:val="en-US" w:eastAsia="zh-CN"/>
        </w:rPr>
        <w:t>本团体标准由中国欧洲经济技术合作协会正式立项，立项名称为：</w:t>
      </w:r>
      <w:r>
        <w:rPr>
          <w:rFonts w:hint="eastAsia" w:ascii="宋体" w:hAnsi="宋体" w:eastAsia="宋体" w:cs="宋体"/>
          <w:lang w:val="en-US"/>
        </w:rPr>
        <w:t>《电子级高纯化学品不锈钢焊接容器清洁度检测与验收规范》</w:t>
      </w:r>
      <w:r>
        <w:rPr>
          <w:rFonts w:hint="eastAsia" w:ascii="宋体" w:hAnsi="宋体" w:eastAsia="宋体" w:cs="宋体"/>
          <w:lang w:val="en-US" w:eastAsia="zh-CN"/>
        </w:rPr>
        <w:t>。</w:t>
      </w:r>
    </w:p>
    <w:p w14:paraId="50B22881">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2.标准起草过程</w:t>
      </w:r>
    </w:p>
    <w:p w14:paraId="2442C1C6">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eastAsia="宋体" w:cs="宋体"/>
          <w:lang w:val="en-US" w:eastAsia="zh-CN"/>
        </w:rPr>
        <w:t>，团体标准立项通知公示后，标准编制小组首先组织了标准制定工作会议，各编写人员根据工作计划分工和编写要求开展了相关工作。在标准起草期间，编制小组主编单位及参编单位组织了数次内部研讨会和专家咨询会，经过多次修改，于</w:t>
      </w: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5</w:t>
      </w:r>
      <w:r>
        <w:rPr>
          <w:rFonts w:hint="eastAsia" w:ascii="宋体" w:hAnsi="宋体" w:eastAsia="宋体" w:cs="宋体"/>
          <w:lang w:val="en-US"/>
        </w:rPr>
        <w:t>月</w:t>
      </w:r>
      <w:r>
        <w:rPr>
          <w:rFonts w:hint="eastAsia" w:ascii="宋体" w:hAnsi="宋体" w:eastAsia="宋体" w:cs="宋体"/>
          <w:lang w:val="en-US" w:eastAsia="zh-CN"/>
        </w:rPr>
        <w:t>初完成了标准初稿及编制说明的撰写工作。</w:t>
      </w:r>
    </w:p>
    <w:p w14:paraId="1EA2EC11">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标准编制原则和依据</w:t>
      </w:r>
    </w:p>
    <w:p w14:paraId="027E0F0D">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（一）编制原则</w:t>
      </w:r>
    </w:p>
    <w:p w14:paraId="2F121084">
      <w:pPr>
        <w:pStyle w:val="9"/>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标准起草小组在编制标准过程中，以国家、行业现有的标准为制订基础，结合我国目前的行业现状，按照GB/T 1.1—2020《标准化工作导则 第1部分：标准化文件的结构和起草规则》的规定及相关要求编制。</w:t>
      </w:r>
    </w:p>
    <w:p w14:paraId="4B758C3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（二）标准主要内容与确定依据</w:t>
      </w:r>
    </w:p>
    <w:p w14:paraId="1E2069BD">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1.标准主要内容</w:t>
      </w:r>
    </w:p>
    <w:p w14:paraId="066FC14A">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1.1</w:t>
      </w:r>
      <w:r>
        <w:rPr>
          <w:rFonts w:hint="eastAsia" w:ascii="宋体" w:hAnsi="宋体" w:cs="宋体"/>
          <w:lang w:val="en-US" w:eastAsia="zh-CN"/>
        </w:rPr>
        <w:t xml:space="preserve"> </w:t>
      </w:r>
      <w:r>
        <w:rPr>
          <w:rFonts w:hint="eastAsia" w:ascii="宋体" w:hAnsi="宋体" w:eastAsia="宋体" w:cs="宋体"/>
          <w:lang w:val="en-US" w:eastAsia="zh-CN"/>
        </w:rPr>
        <w:t>范围</w:t>
      </w:r>
    </w:p>
    <w:p w14:paraId="27E075F9">
      <w:pPr>
        <w:pStyle w:val="9"/>
        <w:widowControl/>
        <w:spacing w:beforeAutospacing="0" w:afterAutospacing="0" w:line="520" w:lineRule="exact"/>
        <w:ind w:firstLine="480" w:firstLineChars="200"/>
        <w:jc w:val="both"/>
        <w:rPr>
          <w:rFonts w:hint="eastAsia" w:ascii="宋体" w:hAnsi="宋体" w:cs="宋体"/>
          <w:lang w:val="en-US" w:eastAsia="zh-CN"/>
        </w:rPr>
      </w:pPr>
      <w:r>
        <w:rPr>
          <w:rFonts w:hint="eastAsia" w:ascii="宋体" w:hAnsi="宋体" w:cs="宋体"/>
          <w:lang w:val="en-US" w:eastAsia="zh-CN"/>
        </w:rPr>
        <w:t>本文件规定了电子级高纯化学品不锈钢焊接容器清洁度检测的检测条件、检测方法、验收规则等内容。</w:t>
      </w:r>
    </w:p>
    <w:p w14:paraId="0AFE88CB">
      <w:pPr>
        <w:pStyle w:val="9"/>
        <w:widowControl/>
        <w:spacing w:beforeAutospacing="0" w:afterAutospacing="0" w:line="520" w:lineRule="exact"/>
        <w:ind w:firstLine="480" w:firstLineChars="200"/>
        <w:jc w:val="both"/>
        <w:rPr>
          <w:rFonts w:hint="default" w:ascii="宋体" w:hAnsi="宋体" w:eastAsia="宋体" w:cs="宋体"/>
          <w:lang w:val="en-US" w:eastAsia="zh-CN"/>
        </w:rPr>
      </w:pPr>
      <w:r>
        <w:rPr>
          <w:rFonts w:hint="eastAsia" w:ascii="宋体" w:hAnsi="宋体" w:cs="宋体"/>
          <w:lang w:val="en-US" w:eastAsia="zh-CN"/>
        </w:rPr>
        <w:t>本文件适用于电子级高纯化学品不锈钢焊接容器的清洁度检测与验收工作。</w:t>
      </w:r>
    </w:p>
    <w:p w14:paraId="5673A44B">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1.2</w:t>
      </w:r>
      <w:r>
        <w:rPr>
          <w:rFonts w:hint="eastAsia" w:ascii="宋体" w:hAnsi="宋体" w:cs="宋体"/>
          <w:lang w:val="en-US" w:eastAsia="zh-CN"/>
        </w:rPr>
        <w:t xml:space="preserve"> </w:t>
      </w:r>
      <w:r>
        <w:rPr>
          <w:rFonts w:hint="eastAsia" w:ascii="宋体" w:hAnsi="宋体" w:eastAsia="宋体" w:cs="宋体"/>
          <w:lang w:val="en-US" w:eastAsia="zh-CN"/>
        </w:rPr>
        <w:t>规范性引用文件</w:t>
      </w:r>
    </w:p>
    <w:p w14:paraId="402F1EBB">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1031  产品几何技术规范（GPS）  表面结构  轮廓法  表面粗糙度参数及其数值</w:t>
      </w:r>
    </w:p>
    <w:p w14:paraId="114257EE">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6062  产品几何技术规范（GPS）  表面结构  轮廓法  接触（触针）式仪器的标称特性</w:t>
      </w:r>
    </w:p>
    <w:p w14:paraId="2CAFB949">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6682  分析实验室用水规格和试验方法</w:t>
      </w:r>
    </w:p>
    <w:p w14:paraId="1B5820DE">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8979  纯氮、高纯氮和超纯氮</w:t>
      </w:r>
    </w:p>
    <w:p w14:paraId="084DF586">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11446.1  电子级水</w:t>
      </w:r>
    </w:p>
    <w:p w14:paraId="6AC77E63">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25915.1  洁净室及相关受控环境  第1部分：按粒子浓度划分空气洁净度等级</w:t>
      </w:r>
    </w:p>
    <w:p w14:paraId="04D98C4D">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39486  化学试剂  电感耦合等离子体质谱分析方法通则</w:t>
      </w:r>
    </w:p>
    <w:p w14:paraId="41494BBF">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HJ 501  水质  总有机碳的测定  燃烧氧化—非分散红外吸收法</w:t>
      </w:r>
    </w:p>
    <w:p w14:paraId="1B53E547">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HJ 776  水质  32种元素的测定  电感耦合等离子体发射光谱法</w:t>
      </w:r>
    </w:p>
    <w:p w14:paraId="28396E05">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 xml:space="preserve">1.4 </w:t>
      </w:r>
      <w:r>
        <w:rPr>
          <w:rFonts w:hint="eastAsia" w:ascii="宋体" w:hAnsi="宋体" w:cs="宋体"/>
          <w:lang w:val="en-US" w:eastAsia="zh-CN"/>
        </w:rPr>
        <w:t>检测条件</w:t>
      </w:r>
    </w:p>
    <w:p w14:paraId="6FCAEAE6">
      <w:pPr>
        <w:pStyle w:val="9"/>
        <w:widowControl/>
        <w:spacing w:beforeAutospacing="0" w:afterAutospacing="0" w:line="520" w:lineRule="exact"/>
        <w:ind w:firstLine="480" w:firstLineChars="200"/>
        <w:jc w:val="both"/>
        <w:rPr>
          <w:rFonts w:hint="default" w:ascii="宋体" w:hAnsi="宋体" w:eastAsia="宋体" w:cs="宋体"/>
          <w:lang w:val="en-US" w:eastAsia="zh-CN"/>
        </w:rPr>
      </w:pPr>
      <w:r>
        <w:rPr>
          <w:rFonts w:hint="eastAsia" w:ascii="宋体" w:hAnsi="宋体" w:cs="宋体"/>
          <w:lang w:val="en-US" w:eastAsia="zh-CN"/>
        </w:rPr>
        <w:t>对容器清洁度检测的检测条件进行规定。</w:t>
      </w:r>
    </w:p>
    <w:p w14:paraId="7AEBFEC9">
      <w:pPr>
        <w:pStyle w:val="9"/>
        <w:widowControl/>
        <w:spacing w:beforeAutospacing="0" w:afterAutospacing="0" w:line="520" w:lineRule="exact"/>
        <w:ind w:firstLine="480" w:firstLineChars="200"/>
        <w:jc w:val="both"/>
        <w:rPr>
          <w:rFonts w:hint="eastAsia" w:ascii="宋体" w:hAnsi="宋体" w:cs="宋体"/>
          <w:lang w:val="en-US" w:eastAsia="zh-CN"/>
        </w:rPr>
      </w:pPr>
      <w:r>
        <w:rPr>
          <w:rFonts w:hint="eastAsia" w:ascii="宋体" w:hAnsi="宋体" w:eastAsia="宋体" w:cs="宋体"/>
          <w:lang w:val="en-US" w:eastAsia="zh-CN"/>
        </w:rPr>
        <w:t xml:space="preserve">1.5 </w:t>
      </w:r>
      <w:r>
        <w:rPr>
          <w:rFonts w:hint="eastAsia" w:ascii="宋体" w:hAnsi="宋体" w:cs="宋体"/>
          <w:lang w:val="en-US" w:eastAsia="zh-CN"/>
        </w:rPr>
        <w:t>检测方法</w:t>
      </w:r>
    </w:p>
    <w:p w14:paraId="4458AF73">
      <w:pPr>
        <w:pStyle w:val="9"/>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对容器清洁度的检测方法进行规定。</w:t>
      </w:r>
    </w:p>
    <w:p w14:paraId="206EF25D">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cs="宋体"/>
          <w:lang w:val="en-US" w:eastAsia="zh-CN"/>
        </w:rPr>
        <w:t>1.6 验收规则</w:t>
      </w:r>
    </w:p>
    <w:p w14:paraId="5D583C23">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w:t>
      </w:r>
      <w:r>
        <w:rPr>
          <w:rFonts w:hint="eastAsia" w:ascii="宋体" w:hAnsi="宋体" w:cs="宋体"/>
          <w:lang w:val="en-US" w:eastAsia="zh-CN"/>
        </w:rPr>
        <w:t>容器清洁度验收规则</w:t>
      </w:r>
      <w:r>
        <w:rPr>
          <w:rFonts w:hint="eastAsia" w:ascii="宋体" w:hAnsi="宋体" w:eastAsia="宋体" w:cs="宋体"/>
          <w:lang w:val="en-US" w:eastAsia="zh-CN"/>
        </w:rPr>
        <w:t>进行规定。</w:t>
      </w:r>
    </w:p>
    <w:p w14:paraId="60EA2A54">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2.确定标准主要内容的依据</w:t>
      </w:r>
    </w:p>
    <w:p w14:paraId="3EEF6842">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本标准主要内容依据国家</w:t>
      </w:r>
      <w:r>
        <w:rPr>
          <w:rFonts w:hint="eastAsia" w:ascii="宋体" w:hAnsi="宋体" w:eastAsia="宋体" w:cs="宋体"/>
          <w:lang w:val="en-US"/>
        </w:rPr>
        <w:t>《“十四五”原材料工业发展规划》《关于推动能源电子产业发展的指导意见》</w:t>
      </w:r>
      <w:r>
        <w:rPr>
          <w:rFonts w:hint="eastAsia" w:ascii="宋体" w:hAnsi="宋体" w:eastAsia="宋体" w:cs="宋体"/>
          <w:lang w:val="en-US" w:eastAsia="zh-CN"/>
        </w:rPr>
        <w:t>等政策文件要求确定，严格按照GB/T 1.1—2020《标准化工作导则 第</w:t>
      </w:r>
      <w:r>
        <w:rPr>
          <w:rFonts w:hint="eastAsia" w:ascii="宋体" w:hAnsi="宋体" w:cs="宋体"/>
          <w:lang w:val="en-US" w:eastAsia="zh-CN"/>
        </w:rPr>
        <w:t>1</w:t>
      </w:r>
      <w:r>
        <w:rPr>
          <w:rFonts w:hint="eastAsia" w:ascii="宋体" w:hAnsi="宋体" w:eastAsia="宋体" w:cs="宋体"/>
          <w:lang w:val="en-US" w:eastAsia="zh-CN"/>
        </w:rPr>
        <w:t>部分：标准化文件的结构和起草规则》编制，结合半导体晶圆制造、显示面板、光伏新能源、集成电路等电子级高纯化学品实际储运工况，聚焦超洁净、低析出、无残留、焊接无死角核心指标，兼顾国际先进水平与国内产业可实现性，针对当前行业清洁度标准缺失、检测方法不统一、验收无依据、污染风险高等痛点，形成科学、严谨、可执行的标准条款。</w:t>
      </w:r>
    </w:p>
    <w:p w14:paraId="0523CAD7">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主要试验[或验证]情况分析、技术经济论证、预期经济效果</w:t>
      </w:r>
    </w:p>
    <w:p w14:paraId="540851BA">
      <w:pPr>
        <w:pStyle w:val="9"/>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编制过程中，选取多家起草单位量产电子级高纯化学品不锈钢焊接容器样品，按标准规定开展颗粒物计数、金属离子析出、TOC残留、内表面粗糙度、焊接洁净度、洁净包装完整性等检测。结果表明样品清洁度指标满足先进制程要求，颗粒物、离子析出、TOC残留等限值科学合理、可稳定实现；容器重量与结构符合高纯物料储运要求，不同厂家产品在电子级化学品产线具备良好互换性与兼容性。从技术经济论证来看，本标准指标基于成熟清洗、检测、钝化工艺制定，企业无需大规模改造产线即可达标；统一清洁度规范可显著降低电子企业容器验证、清洗、报废、污染损失等成本，提升供应链效率；规范行业质量底线，推动企业聚焦洁净技术、精密焊接、高效清洗等核心创新，提升国产容器国际竞争力。预期实施效果</w:t>
      </w:r>
      <w:r>
        <w:rPr>
          <w:rFonts w:hint="eastAsia" w:ascii="宋体" w:hAnsi="宋体" w:cs="宋体"/>
          <w:lang w:val="en-US" w:eastAsia="zh-CN"/>
        </w:rPr>
        <w:t>来看，将</w:t>
      </w:r>
      <w:r>
        <w:rPr>
          <w:rFonts w:hint="eastAsia" w:ascii="宋体" w:hAnsi="宋体" w:eastAsia="宋体" w:cs="宋体"/>
          <w:lang w:val="en-US" w:eastAsia="zh-CN"/>
        </w:rPr>
        <w:t>推动电子级高纯化学品不锈钢焊接容器行业标准化、洁净化、规模化、国产化发展，遏制低质产品无序竞争，降低产业链整体成本，提升我国电子化学品储运装备公信力与全球竞争力，为半导体、显示、光伏等高端电子制造产业提供关键装备标准支撑，带来显著经济效益与社会效益。</w:t>
      </w:r>
    </w:p>
    <w:p w14:paraId="46C705F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与有关的现行法律、法规和强制性国家标准的关系</w:t>
      </w:r>
    </w:p>
    <w:p w14:paraId="5D5F9222">
      <w:pPr>
        <w:pStyle w:val="9"/>
        <w:widowControl/>
        <w:spacing w:beforeAutospacing="0" w:afterAutospacing="0" w:line="520" w:lineRule="exact"/>
        <w:ind w:firstLine="480" w:firstLineChars="200"/>
        <w:jc w:val="both"/>
        <w:rPr>
          <w:rFonts w:ascii="Times New Roman" w:hAnsi="Times New Roman" w:cs="Times New Roman"/>
          <w:b w:val="0"/>
          <w:bCs w:val="0"/>
          <w:color w:val="auto"/>
          <w:sz w:val="24"/>
          <w:szCs w:val="24"/>
        </w:rPr>
      </w:pPr>
      <w:r>
        <w:rPr>
          <w:rFonts w:hint="eastAsia" w:ascii="宋体" w:hAnsi="宋体" w:eastAsia="宋体" w:cs="宋体"/>
          <w:lang w:val="en-US"/>
        </w:rPr>
        <w:t>本标准的制定过程、技术要求的选定、试验方法的确定、检验项目设置等符合现行法律、法规和强制性国家标准的规定。</w:t>
      </w:r>
    </w:p>
    <w:p w14:paraId="680010EF">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重大分歧意见的处理经过和依据</w:t>
      </w:r>
    </w:p>
    <w:p w14:paraId="3077AA40">
      <w:pPr>
        <w:pStyle w:val="3"/>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lang w:val="en-US" w:eastAsia="zh-CN"/>
        </w:rPr>
        <w:t>无</w:t>
      </w:r>
      <w:r>
        <w:rPr>
          <w:rFonts w:hint="eastAsia" w:ascii="Times New Roman" w:hAnsi="Times New Roman" w:cs="Times New Roman"/>
          <w:b w:val="0"/>
          <w:bCs w:val="0"/>
          <w:color w:val="auto"/>
          <w:sz w:val="24"/>
          <w:szCs w:val="24"/>
        </w:rPr>
        <w:t>。</w:t>
      </w:r>
    </w:p>
    <w:p w14:paraId="0060610B">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废止现行有关标准的建议</w:t>
      </w:r>
    </w:p>
    <w:p w14:paraId="64405480">
      <w:pPr>
        <w:pStyle w:val="3"/>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本标准不涉及对现行标准的废止。</w:t>
      </w:r>
    </w:p>
    <w:p w14:paraId="27E7AEC3">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知识产权情况说明</w:t>
      </w:r>
    </w:p>
    <w:p w14:paraId="2A4021B2">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本文件不涉及必要专利等知识产权情况。</w:t>
      </w:r>
    </w:p>
    <w:p w14:paraId="3796DFA6">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标准作为强制性或推荐性标准的建议</w:t>
      </w:r>
    </w:p>
    <w:p w14:paraId="5D40E7FD">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建议该标准作为推荐性团体标准。</w:t>
      </w:r>
    </w:p>
    <w:p w14:paraId="49183D48">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贯彻标准的要求和措施建议，包括（组织措施、技术措施、过渡办法）</w:t>
      </w:r>
    </w:p>
    <w:p w14:paraId="5142A3D6">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本标准首次制定，没有特殊要求。</w:t>
      </w:r>
    </w:p>
    <w:p w14:paraId="448306B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其他应予说明的事项</w:t>
      </w:r>
    </w:p>
    <w:p w14:paraId="0A76F638">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 xml:space="preserve">无。 </w:t>
      </w:r>
    </w:p>
    <w:p w14:paraId="0F12174A">
      <w:pPr>
        <w:adjustRightInd/>
        <w:spacing w:line="520" w:lineRule="exact"/>
        <w:ind w:right="240" w:firstLine="480" w:firstLineChars="200"/>
        <w:jc w:val="right"/>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rPr>
        <w:t>《电子级高纯化学品不锈钢焊接容器清洁度检测与验收规范》团体标准</w:t>
      </w:r>
      <w:r>
        <w:rPr>
          <w:rFonts w:hint="eastAsia" w:ascii="Times New Roman" w:hAnsi="Times New Roman" w:cs="Times New Roman"/>
          <w:sz w:val="24"/>
          <w:szCs w:val="24"/>
          <w:lang w:val="en-US" w:eastAsia="zh-CN"/>
        </w:rPr>
        <w:t>编制组</w:t>
      </w:r>
    </w:p>
    <w:p w14:paraId="0E927A61">
      <w:pPr>
        <w:adjustRightInd/>
        <w:spacing w:line="520" w:lineRule="exact"/>
        <w:ind w:right="240" w:firstLine="480" w:firstLineChars="200"/>
        <w:jc w:val="right"/>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202</w:t>
      </w:r>
      <w:r>
        <w:rPr>
          <w:rFonts w:hint="eastAsia" w:cs="Times New Roman" w:asciiTheme="minorEastAsia" w:hAnsiTheme="minorEastAsia" w:eastAsiaTheme="minorEastAsia"/>
          <w:sz w:val="24"/>
          <w:szCs w:val="24"/>
          <w:lang w:val="en-US" w:eastAsia="zh-CN"/>
        </w:rPr>
        <w:t>6</w:t>
      </w:r>
      <w:r>
        <w:rPr>
          <w:rFonts w:hint="eastAsia" w:cs="Times New Roman" w:asciiTheme="minorEastAsia" w:hAnsiTheme="minorEastAsia" w:eastAsiaTheme="minorEastAsia"/>
          <w:sz w:val="24"/>
          <w:szCs w:val="24"/>
        </w:rPr>
        <w:t>年</w:t>
      </w:r>
      <w:r>
        <w:rPr>
          <w:rFonts w:hint="eastAsia" w:cs="Times New Roman" w:asciiTheme="minorEastAsia" w:hAnsiTheme="minorEastAsia" w:eastAsiaTheme="minorEastAsia"/>
          <w:sz w:val="24"/>
          <w:szCs w:val="24"/>
          <w:lang w:val="en-US" w:eastAsia="zh-CN"/>
        </w:rPr>
        <w:t>5</w:t>
      </w:r>
      <w:r>
        <w:rPr>
          <w:rFonts w:hint="eastAsia" w:cs="Times New Roman" w:asciiTheme="minorEastAsia" w:hAnsiTheme="minorEastAsia" w:eastAsiaTheme="minorEastAsia"/>
          <w:sz w:val="24"/>
          <w:szCs w:val="24"/>
        </w:rPr>
        <w:t>月</w:t>
      </w:r>
    </w:p>
    <w:sectPr>
      <w:footerReference r:id="rId6" w:type="first"/>
      <w:footerReference r:id="rId5" w:type="default"/>
      <w:pgSz w:w="11906" w:h="16838"/>
      <w:pgMar w:top="1474" w:right="1474" w:bottom="1474" w:left="1474"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0263D">
    <w:pPr>
      <w:pStyle w:val="7"/>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0390F">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80390F">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A3D8A">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E4DD4">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E6E4DD4">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7EA28"/>
    <w:multiLevelType w:val="singleLevel"/>
    <w:tmpl w:val="DF77EA28"/>
    <w:lvl w:ilvl="0" w:tentative="0">
      <w:start w:val="1"/>
      <w:numFmt w:val="chineseCounting"/>
      <w:suff w:val="nothing"/>
      <w:lvlText w:val="%1、"/>
      <w:lvlJc w:val="left"/>
      <w:rPr>
        <w:rFonts w:hint="eastAsia"/>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83"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RlMzE1NmU5NGVjNjg2MzIyYjQyMTM1ZjkxNWYxOTEifQ=="/>
  </w:docVars>
  <w:rsids>
    <w:rsidRoot w:val="59344C26"/>
    <w:rsid w:val="00003F8E"/>
    <w:rsid w:val="00031262"/>
    <w:rsid w:val="000678C8"/>
    <w:rsid w:val="000C2941"/>
    <w:rsid w:val="001E0BCA"/>
    <w:rsid w:val="0022665B"/>
    <w:rsid w:val="002D5E86"/>
    <w:rsid w:val="00316E46"/>
    <w:rsid w:val="00396248"/>
    <w:rsid w:val="00480E96"/>
    <w:rsid w:val="004A39DC"/>
    <w:rsid w:val="00582A2F"/>
    <w:rsid w:val="005C11CB"/>
    <w:rsid w:val="005E679A"/>
    <w:rsid w:val="00656B83"/>
    <w:rsid w:val="0069157B"/>
    <w:rsid w:val="006D57C9"/>
    <w:rsid w:val="00780B13"/>
    <w:rsid w:val="007A6776"/>
    <w:rsid w:val="00877D40"/>
    <w:rsid w:val="00920FC6"/>
    <w:rsid w:val="009365DD"/>
    <w:rsid w:val="00953173"/>
    <w:rsid w:val="00953DD1"/>
    <w:rsid w:val="009B2A7D"/>
    <w:rsid w:val="009F158D"/>
    <w:rsid w:val="00A450BA"/>
    <w:rsid w:val="00AD07F2"/>
    <w:rsid w:val="00AE10C4"/>
    <w:rsid w:val="00B25D6A"/>
    <w:rsid w:val="00BE37FD"/>
    <w:rsid w:val="00BF2017"/>
    <w:rsid w:val="00D30CDC"/>
    <w:rsid w:val="00D468A7"/>
    <w:rsid w:val="00DF18E0"/>
    <w:rsid w:val="00EC3847"/>
    <w:rsid w:val="00EF14A0"/>
    <w:rsid w:val="00F339D1"/>
    <w:rsid w:val="00F371BA"/>
    <w:rsid w:val="00F663F7"/>
    <w:rsid w:val="00F9799E"/>
    <w:rsid w:val="00F97C40"/>
    <w:rsid w:val="00FD38D1"/>
    <w:rsid w:val="00FD47E3"/>
    <w:rsid w:val="026D6E02"/>
    <w:rsid w:val="02F25185"/>
    <w:rsid w:val="03F12027"/>
    <w:rsid w:val="050D4849"/>
    <w:rsid w:val="07C53D22"/>
    <w:rsid w:val="09D021AA"/>
    <w:rsid w:val="09E013D8"/>
    <w:rsid w:val="0E125B51"/>
    <w:rsid w:val="0EF73150"/>
    <w:rsid w:val="10060813"/>
    <w:rsid w:val="10DC4F31"/>
    <w:rsid w:val="11E24C48"/>
    <w:rsid w:val="15E52C78"/>
    <w:rsid w:val="1732672E"/>
    <w:rsid w:val="178A75E4"/>
    <w:rsid w:val="1A554829"/>
    <w:rsid w:val="1A646826"/>
    <w:rsid w:val="1AA32829"/>
    <w:rsid w:val="1C6642AB"/>
    <w:rsid w:val="1DE0459D"/>
    <w:rsid w:val="1E0C661C"/>
    <w:rsid w:val="1E237678"/>
    <w:rsid w:val="1E6E623A"/>
    <w:rsid w:val="1EBF0EDC"/>
    <w:rsid w:val="202076CF"/>
    <w:rsid w:val="2194727B"/>
    <w:rsid w:val="223573AF"/>
    <w:rsid w:val="22A266A4"/>
    <w:rsid w:val="241C052D"/>
    <w:rsid w:val="2656217A"/>
    <w:rsid w:val="27133B25"/>
    <w:rsid w:val="28655A50"/>
    <w:rsid w:val="2B7D1EF0"/>
    <w:rsid w:val="2C4A3F97"/>
    <w:rsid w:val="30F960DF"/>
    <w:rsid w:val="330927AE"/>
    <w:rsid w:val="33E52935"/>
    <w:rsid w:val="346C2CC0"/>
    <w:rsid w:val="352944D8"/>
    <w:rsid w:val="358362DE"/>
    <w:rsid w:val="36916617"/>
    <w:rsid w:val="39CE4183"/>
    <w:rsid w:val="3B8D6699"/>
    <w:rsid w:val="3CC33464"/>
    <w:rsid w:val="3EB47508"/>
    <w:rsid w:val="3EB827C1"/>
    <w:rsid w:val="3F2F7D87"/>
    <w:rsid w:val="3F8F0DE9"/>
    <w:rsid w:val="43E3475B"/>
    <w:rsid w:val="45837C34"/>
    <w:rsid w:val="491238A7"/>
    <w:rsid w:val="4AE65C90"/>
    <w:rsid w:val="4B5072BB"/>
    <w:rsid w:val="4B5510D9"/>
    <w:rsid w:val="4BF94D80"/>
    <w:rsid w:val="4C8A729F"/>
    <w:rsid w:val="4D096C71"/>
    <w:rsid w:val="4D4D4194"/>
    <w:rsid w:val="5150261A"/>
    <w:rsid w:val="529B78C2"/>
    <w:rsid w:val="52A075B6"/>
    <w:rsid w:val="53D84BED"/>
    <w:rsid w:val="53F2245B"/>
    <w:rsid w:val="561B5752"/>
    <w:rsid w:val="57E53B79"/>
    <w:rsid w:val="59344C26"/>
    <w:rsid w:val="5A3B68D8"/>
    <w:rsid w:val="5AFE1A31"/>
    <w:rsid w:val="5BC80BA0"/>
    <w:rsid w:val="5EA47786"/>
    <w:rsid w:val="5F1F5D94"/>
    <w:rsid w:val="5F8F42AD"/>
    <w:rsid w:val="5FB93C59"/>
    <w:rsid w:val="609E371C"/>
    <w:rsid w:val="610E43FE"/>
    <w:rsid w:val="61A905CB"/>
    <w:rsid w:val="61EB2350"/>
    <w:rsid w:val="621517BC"/>
    <w:rsid w:val="622C4B77"/>
    <w:rsid w:val="6299419B"/>
    <w:rsid w:val="63F51786"/>
    <w:rsid w:val="65FD3DC7"/>
    <w:rsid w:val="66AD645E"/>
    <w:rsid w:val="67332E10"/>
    <w:rsid w:val="67876787"/>
    <w:rsid w:val="695831B8"/>
    <w:rsid w:val="699403C8"/>
    <w:rsid w:val="69EA352F"/>
    <w:rsid w:val="6B3B6A1E"/>
    <w:rsid w:val="6BB84480"/>
    <w:rsid w:val="6CFE65E7"/>
    <w:rsid w:val="6FFC0478"/>
    <w:rsid w:val="70B155EE"/>
    <w:rsid w:val="74793E2D"/>
    <w:rsid w:val="768B2463"/>
    <w:rsid w:val="76B66E3B"/>
    <w:rsid w:val="771A1486"/>
    <w:rsid w:val="77C33D3D"/>
    <w:rsid w:val="77ED3F06"/>
    <w:rsid w:val="78BC25D4"/>
    <w:rsid w:val="78FD3AF7"/>
    <w:rsid w:val="79623EA7"/>
    <w:rsid w:val="7AC202DC"/>
    <w:rsid w:val="7B05054F"/>
    <w:rsid w:val="7BC46246"/>
    <w:rsid w:val="7C55517F"/>
    <w:rsid w:val="7D1F6674"/>
    <w:rsid w:val="7EBB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spacing w:line="400" w:lineRule="exact"/>
      <w:jc w:val="both"/>
    </w:pPr>
    <w:rPr>
      <w:rFonts w:ascii="Calibri" w:hAnsi="Calibri" w:eastAsia="宋体" w:cs="Calibri"/>
      <w:kern w:val="2"/>
      <w:sz w:val="21"/>
      <w:szCs w:val="21"/>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autoRedefine/>
    <w:qFormat/>
    <w:uiPriority w:val="0"/>
    <w:pPr>
      <w:spacing w:before="50" w:line="360" w:lineRule="exact"/>
    </w:pPr>
    <w:rPr>
      <w:b/>
      <w:bCs/>
      <w:color w:val="FF0000"/>
      <w:sz w:val="18"/>
    </w:rPr>
  </w:style>
  <w:style w:type="paragraph" w:styleId="6">
    <w:name w:val="annotation text"/>
    <w:basedOn w:val="1"/>
    <w:autoRedefine/>
    <w:qFormat/>
    <w:uiPriority w:val="0"/>
    <w:pPr>
      <w:jc w:val="left"/>
    </w:pPr>
  </w:style>
  <w:style w:type="paragraph" w:styleId="7">
    <w:name w:val="footer"/>
    <w:basedOn w:val="1"/>
    <w:link w:val="15"/>
    <w:autoRedefine/>
    <w:unhideWhenUsed/>
    <w:qFormat/>
    <w:uiPriority w:val="99"/>
    <w:pPr>
      <w:tabs>
        <w:tab w:val="center" w:pos="4153"/>
        <w:tab w:val="right" w:pos="8306"/>
      </w:tabs>
      <w:snapToGrid w:val="0"/>
      <w:jc w:val="left"/>
    </w:pPr>
    <w:rPr>
      <w:sz w:val="18"/>
      <w:szCs w:val="18"/>
    </w:rPr>
  </w:style>
  <w:style w:type="paragraph" w:styleId="8">
    <w:name w:val="header"/>
    <w:basedOn w:val="1"/>
    <w:link w:val="13"/>
    <w:autoRedefine/>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9">
    <w:name w:val="Normal (Web)"/>
    <w:basedOn w:val="1"/>
    <w:autoRedefine/>
    <w:qFormat/>
    <w:uiPriority w:val="0"/>
    <w:pPr>
      <w:spacing w:beforeAutospacing="1" w:afterAutospacing="1"/>
      <w:jc w:val="left"/>
    </w:pPr>
    <w:rPr>
      <w:rFonts w:cs="Times New Roman"/>
      <w:kern w:val="0"/>
      <w:sz w:val="24"/>
      <w:szCs w:val="24"/>
    </w:rPr>
  </w:style>
  <w:style w:type="character" w:styleId="12">
    <w:name w:val="Strong"/>
    <w:basedOn w:val="11"/>
    <w:autoRedefine/>
    <w:qFormat/>
    <w:uiPriority w:val="22"/>
    <w:rPr>
      <w:b/>
      <w:bCs/>
    </w:rPr>
  </w:style>
  <w:style w:type="character" w:customStyle="1" w:styleId="13">
    <w:name w:val="页眉 字符"/>
    <w:basedOn w:val="11"/>
    <w:link w:val="8"/>
    <w:autoRedefine/>
    <w:qFormat/>
    <w:uiPriority w:val="0"/>
    <w:rPr>
      <w:rFonts w:ascii="Calibri" w:hAnsi="Calibri" w:eastAsia="宋体" w:cs="Calibri"/>
      <w:kern w:val="2"/>
      <w:sz w:val="18"/>
      <w:szCs w:val="18"/>
    </w:rPr>
  </w:style>
  <w:style w:type="paragraph" w:customStyle="1" w:styleId="14">
    <w:name w:val="段"/>
    <w:basedOn w:val="1"/>
    <w:link w:val="16"/>
    <w:autoRedefine/>
    <w:qFormat/>
    <w:uiPriority w:val="0"/>
    <w:pPr>
      <w:spacing w:line="240" w:lineRule="auto"/>
      <w:ind w:firstLine="420" w:firstLineChars="200"/>
    </w:pPr>
    <w:rPr>
      <w:rFonts w:ascii="Times New Roman" w:hAnsi="Times New Roman"/>
    </w:rPr>
  </w:style>
  <w:style w:type="character" w:customStyle="1" w:styleId="15">
    <w:name w:val="页脚 字符"/>
    <w:basedOn w:val="11"/>
    <w:link w:val="7"/>
    <w:autoRedefine/>
    <w:qFormat/>
    <w:uiPriority w:val="99"/>
    <w:rPr>
      <w:rFonts w:ascii="Calibri" w:hAnsi="Calibri" w:cs="Calibri"/>
      <w:kern w:val="2"/>
      <w:sz w:val="18"/>
      <w:szCs w:val="18"/>
    </w:rPr>
  </w:style>
  <w:style w:type="character" w:customStyle="1" w:styleId="16">
    <w:name w:val="段 字符"/>
    <w:basedOn w:val="11"/>
    <w:link w:val="14"/>
    <w:autoRedefine/>
    <w:qFormat/>
    <w:uiPriority w:val="0"/>
    <w:rPr>
      <w:rFonts w:cs="Calibri"/>
      <w:kern w:val="2"/>
      <w:sz w:val="21"/>
      <w:szCs w:val="21"/>
    </w:rPr>
  </w:style>
  <w:style w:type="paragraph" w:customStyle="1" w:styleId="17">
    <w:name w:val="正文段落，引导语"/>
    <w:basedOn w:val="14"/>
    <w:autoRedefine/>
    <w:qFormat/>
    <w:uiPriority w:val="0"/>
    <w:rPr>
      <w:rFonts w:ascii="宋体" w:hAnsi="宋体"/>
    </w:rPr>
  </w:style>
  <w:style w:type="paragraph" w:customStyle="1" w:styleId="18">
    <w:name w:val="一级条标题"/>
    <w:next w:val="14"/>
    <w:autoRedefine/>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19">
    <w:name w:val="表正缩"/>
    <w:autoRedefine/>
    <w:qFormat/>
    <w:uiPriority w:val="0"/>
    <w:pPr>
      <w:framePr w:hSpace="180" w:wrap="around" w:vAnchor="text" w:hAnchor="text" w:y="1"/>
      <w:suppressOverlap/>
      <w:ind w:firstLine="200" w:firstLineChars="200"/>
      <w:jc w:val="both"/>
    </w:pPr>
    <w:rPr>
      <w:rFonts w:ascii="方正仿宋_GB2312" w:hAnsi="Times New Roman" w:eastAsia="方正仿宋_GB2312" w:cstheme="minorBidi"/>
      <w:kern w:val="2"/>
      <w:sz w:val="21"/>
      <w:szCs w:val="28"/>
      <w:lang w:val="en-US" w:eastAsia="zh-CN" w:bidi="ar-SA"/>
    </w:rPr>
  </w:style>
  <w:style w:type="paragraph" w:customStyle="1" w:styleId="20">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6</Pages>
  <Words>3069</Words>
  <Characters>3202</Characters>
  <Lines>22</Lines>
  <Paragraphs>6</Paragraphs>
  <TotalTime>4</TotalTime>
  <ScaleCrop>false</ScaleCrop>
  <LinksUpToDate>false</LinksUpToDate>
  <CharactersWithSpaces>3263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2024-02-21T02:44:00Z</dcterms:created>
  <dc:creator>Admin</dc:creator>
  <cp:lastModifiedBy>标准部-刘畅</cp:lastModifiedBy>
  <cp:lastPrinted>2024-05-17T07:43:00Z</cp:lastPrinted>
  <dcterms:modified xsi:type="dcterms:W3CDTF">2026-05-11T07:46:33Z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3D008CC0A59D48CFA4246451CD583A40_13</vt:lpwstr>
  </property>
  <property fmtid="{D5CDD505-2E9C-101B-9397-08002B2CF9AE}" pid="4" name="KSOTemplateDocerSaveRecord">
    <vt:lpwstr>eyJoZGlkIjoiYzNmMjNlYzNkMzMzMDY2NzUxYWJjNGJiMmRjZDI2ODQiLCJ1c2VySWQiOiI0MzQwMTU3MTAifQ==</vt:lpwstr>
  </property>
</Properties>
</file>