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E8BB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9D0C0A0">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487A7FF5">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bookmarkStart w:id="1"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71.06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71.060</w:t>
            </w:r>
            <w:r>
              <w:rPr>
                <w:rFonts w:hint="eastAsia" w:ascii="黑体" w:hAnsi="黑体" w:eastAsia="黑体" w:cs="Times New Roman"/>
                <w:kern w:val="2"/>
                <w:sz w:val="21"/>
                <w:szCs w:val="21"/>
                <w:lang w:val="en-US" w:eastAsia="zh-CN" w:bidi="ar-SA"/>
              </w:rPr>
              <w:fldChar w:fldCharType="end"/>
            </w:r>
            <w:bookmarkEnd w:id="1"/>
          </w:p>
        </w:tc>
      </w:tr>
      <w:tr w14:paraId="1AF92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228A3FF">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568EDCE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1C28714A">
                  <w:pPr>
                    <w:pStyle w:val="53"/>
                    <w:framePr w:wrap="notBeside" w:vAnchor="page" w:hAnchor="page" w:x="1372" w:y="568"/>
                    <w:ind w:left="420" w:right="624"/>
                    <w:rPr>
                      <w:rFonts w:hint="eastAsia" w:ascii="宋体" w:hAnsi="宋体"/>
                      <w:sz w:val="28"/>
                      <w:szCs w:val="28"/>
                    </w:rPr>
                  </w:pPr>
                  <w:r>
                    <w:rPr>
                      <w:rFonts w:hint="eastAsia" w:ascii="黑体" w:hAnsi="黑体" w:eastAsia="黑体" w:cs="黑体"/>
                      <w:szCs w:val="22"/>
                      <w:lang w:eastAsia="zh-CN"/>
                    </w:rPr>
                    <w:drawing>
                      <wp:anchor distT="0" distB="0" distL="114300" distR="114300" simplePos="0" relativeHeight="251666432" behindDoc="0" locked="0" layoutInCell="1" allowOverlap="1">
                        <wp:simplePos x="0" y="0"/>
                        <wp:positionH relativeFrom="column">
                          <wp:posOffset>4169410</wp:posOffset>
                        </wp:positionH>
                        <wp:positionV relativeFrom="paragraph">
                          <wp:posOffset>-431800</wp:posOffset>
                        </wp:positionV>
                        <wp:extent cx="1048385" cy="1048385"/>
                        <wp:effectExtent l="0" t="0" r="18415" b="18415"/>
                        <wp:wrapNone/>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21"/>
                                <a:stretch>
                                  <a:fillRect/>
                                </a:stretch>
                              </pic:blipFill>
                              <pic:spPr>
                                <a:xfrm>
                                  <a:off x="0" y="0"/>
                                  <a:ext cx="1048385" cy="1048385"/>
                                </a:xfrm>
                                <a:prstGeom prst="rect">
                                  <a:avLst/>
                                </a:prstGeom>
                              </pic:spPr>
                            </pic:pic>
                          </a:graphicData>
                        </a:graphic>
                      </wp:anchor>
                    </w:drawing>
                  </w:r>
                </w:p>
              </w:tc>
            </w:tr>
          </w:tbl>
          <w:p w14:paraId="41BD6C86">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bookmarkStart w:id="2"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G 13"/>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G 13</w:t>
            </w:r>
            <w:r>
              <w:rPr>
                <w:rFonts w:hint="eastAsia" w:ascii="黑体" w:hAnsi="黑体" w:eastAsia="黑体" w:cs="Times New Roman"/>
                <w:kern w:val="2"/>
                <w:sz w:val="21"/>
                <w:szCs w:val="21"/>
                <w:lang w:val="en-US" w:eastAsia="zh-CN" w:bidi="ar-SA"/>
              </w:rPr>
              <w:fldChar w:fldCharType="end"/>
            </w:r>
            <w:bookmarkEnd w:id="2"/>
          </w:p>
        </w:tc>
      </w:tr>
    </w:tbl>
    <w:p w14:paraId="641A7F66">
      <w:pPr>
        <w:pStyle w:val="54"/>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6796661C">
      <w:pPr>
        <w:pStyle w:val="199"/>
        <w:framePr w:wrap="around"/>
      </w:pPr>
      <w:r>
        <w:t>T/</w:t>
      </w:r>
      <w:bookmarkStart w:id="4" w:name="文字1"/>
      <w:r>
        <w:rPr>
          <w:rFonts w:ascii="黑体" w:hAnsi="Times New Roman" w:eastAsia="黑体" w:cs="Times New Roman"/>
          <w:bCs/>
          <w:sz w:val="28"/>
          <w:szCs w:val="28"/>
          <w:lang w:val="en-US" w:eastAsia="zh-CN" w:bidi="ar-SA"/>
        </w:rPr>
        <w:fldChar w:fldCharType="begin">
          <w:ffData>
            <w:name w:val="文字1"/>
            <w:enabled/>
            <w:calcOnExit w:val="0"/>
            <w:textInput>
              <w:default w:val="CEATEC"/>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CEATEC</w:t>
      </w:r>
      <w:r>
        <w:rPr>
          <w:rFonts w:ascii="黑体" w:hAnsi="Times New Roman" w:eastAsia="黑体" w:cs="Times New Roman"/>
          <w:bCs/>
          <w:sz w:val="28"/>
          <w:szCs w:val="28"/>
          <w:lang w:val="en-US" w:eastAsia="zh-CN" w:bidi="ar-SA"/>
        </w:rPr>
        <w:fldChar w:fldCharType="end"/>
      </w:r>
      <w:bookmarkEnd w:id="4"/>
      <w:r>
        <w:rPr>
          <w:rFonts w:hint="eastAsia"/>
        </w:rPr>
        <w:t xml:space="preserve"> </w:t>
      </w:r>
      <w:bookmarkStart w:id="5"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default w:val="XXXX"/>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eastAsia" w:ascii="黑体" w:hAnsi="Times New Roman" w:eastAsia="黑体" w:cs="Times New Roman"/>
          <w:bCs/>
          <w:sz w:val="28"/>
          <w:szCs w:val="28"/>
          <w:lang w:val="en-US" w:eastAsia="zh-CN" w:bidi="ar-SA"/>
        </w:rPr>
        <w:t>XXXX</w:t>
      </w:r>
      <w:r>
        <w:rPr>
          <w:rFonts w:hint="eastAsia" w:ascii="黑体" w:hAnsi="Times New Roman" w:eastAsia="黑体" w:cs="Times New Roman"/>
          <w:bCs/>
          <w:sz w:val="28"/>
          <w:szCs w:val="28"/>
          <w:lang w:val="en-US" w:eastAsia="zh-CN" w:bidi="ar-SA"/>
        </w:rPr>
        <w:fldChar w:fldCharType="end"/>
      </w:r>
      <w:bookmarkEnd w:id="5"/>
      <w:r>
        <w:rPr>
          <w:rFonts w:hAnsi="黑体"/>
        </w:rPr>
        <w:t>—</w:t>
      </w:r>
      <w:bookmarkStart w:id="6"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6"/>
    </w:p>
    <w:p w14:paraId="0FD83C42">
      <w:pPr>
        <w:pStyle w:val="200"/>
        <w:framePr w:wrap="around"/>
        <w:rPr>
          <w:rFonts w:hint="eastAsia" w:hAnsi="黑体"/>
        </w:rPr>
      </w:pPr>
    </w:p>
    <w:p w14:paraId="758C5BA8">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24A53844">
      <w:pPr>
        <w:pStyle w:val="54"/>
        <w:framePr w:w="9639" w:h="6976" w:hRule="exact" w:hSpace="0" w:vSpace="0" w:wrap="around" w:hAnchor="page" w:y="6408"/>
        <w:jc w:val="center"/>
        <w:rPr>
          <w:rFonts w:hint="eastAsia" w:ascii="黑体" w:hAnsi="黑体" w:eastAsia="黑体"/>
          <w:b w:val="0"/>
          <w:bCs w:val="0"/>
          <w:w w:val="100"/>
        </w:rPr>
      </w:pPr>
    </w:p>
    <w:p w14:paraId="716C4278">
      <w:pPr>
        <w:pStyle w:val="201"/>
        <w:framePr w:h="6974" w:hRule="exact" w:wrap="around" w:x="1419" w:anchorLock="1"/>
        <w:rPr>
          <w:rFonts w:hint="eastAsia"/>
        </w:rPr>
      </w:pPr>
      <w:bookmarkStart w:id="7" w:name="CSTD_NAME"/>
      <w:r>
        <w:rPr>
          <w:rFonts w:hint="eastAsia" w:ascii="黑体" w:hAnsi="黑体" w:eastAsia="黑体" w:cs="Times New Roman"/>
          <w:bCs/>
          <w:sz w:val="52"/>
          <w:lang w:val="en-US" w:eastAsia="zh-CN" w:bidi="ar-SA"/>
        </w:rPr>
        <w:fldChar w:fldCharType="begin">
          <w:ffData>
            <w:name w:val="CSTD_NAME"/>
            <w:enabled/>
            <w:calcOnExit w:val="0"/>
            <w:textInput>
              <w:default w:val="回收碘产品质量分级、检测方法及安全应用规范"/>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回收碘产品质量分级、检测方法及安全应用规范</w:t>
      </w:r>
      <w:r>
        <w:rPr>
          <w:rFonts w:hint="eastAsia" w:ascii="黑体" w:hAnsi="黑体" w:eastAsia="黑体" w:cs="Times New Roman"/>
          <w:bCs/>
          <w:sz w:val="52"/>
          <w:lang w:val="en-US" w:eastAsia="zh-CN" w:bidi="ar-SA"/>
        </w:rPr>
        <w:fldChar w:fldCharType="end"/>
      </w:r>
      <w:bookmarkEnd w:id="7"/>
    </w:p>
    <w:p w14:paraId="613EF785">
      <w:pPr>
        <w:framePr w:w="9639" w:h="6974" w:hRule="exact" w:wrap="around" w:vAnchor="page" w:hAnchor="page" w:x="1419" w:y="6408" w:anchorLock="1"/>
        <w:ind w:left="-1418"/>
      </w:pPr>
    </w:p>
    <w:p w14:paraId="47AA81F5">
      <w:pPr>
        <w:pStyle w:val="129"/>
        <w:framePr w:w="9639" w:h="6974" w:hRule="exact" w:wrap="around" w:vAnchor="page" w:hAnchor="page" w:x="1419" w:y="6408" w:anchorLock="1"/>
        <w:textAlignment w:val="bottom"/>
        <w:rPr>
          <w:rFonts w:eastAsia="黑体"/>
          <w:szCs w:val="28"/>
        </w:rPr>
      </w:pPr>
      <w:bookmarkStart w:id="8"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Recovery of iodine product quality classification, detection method and safety application specification"/>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Recovery of iodine product quality classification, detection method and safety application specification</w:t>
      </w:r>
      <w:r>
        <w:rPr>
          <w:rFonts w:hint="eastAsia" w:ascii="Times New Roman" w:hAnsi="Times New Roman" w:eastAsia="黑体" w:cs="Times New Roman"/>
          <w:sz w:val="28"/>
          <w:szCs w:val="28"/>
          <w:lang w:val="en-US" w:eastAsia="zh-CN" w:bidi="ar-SA"/>
        </w:rPr>
        <w:fldChar w:fldCharType="end"/>
      </w:r>
      <w:bookmarkEnd w:id="8"/>
    </w:p>
    <w:p w14:paraId="1D653C7A">
      <w:pPr>
        <w:pStyle w:val="129"/>
        <w:framePr w:w="9639" w:h="6974" w:hRule="exact" w:wrap="around" w:vAnchor="page" w:hAnchor="page" w:x="1419" w:y="6408" w:anchorLock="1"/>
        <w:pBdr>
          <w:top w:val="none" w:sz="0" w:space="0"/>
          <w:left w:val="none" w:sz="0" w:space="0"/>
          <w:bottom w:val="none" w:sz="0" w:space="0"/>
          <w:right w:val="none" w:sz="0" w:space="0"/>
        </w:pBdr>
        <w:textAlignment w:val="bottom"/>
        <w:rPr>
          <w:rFonts w:eastAsia="黑体"/>
          <w:szCs w:val="28"/>
        </w:rPr>
      </w:pPr>
      <w:r>
        <w:rPr>
          <w:rFonts w:hint="eastAsia" w:eastAsia="黑体"/>
          <w:szCs w:val="28"/>
        </w:rPr>
        <w:t>（征求意见稿）</w:t>
      </w:r>
    </w:p>
    <w:p w14:paraId="15950939">
      <w:pPr>
        <w:pStyle w:val="129"/>
        <w:framePr w:w="9639" w:h="6974" w:hRule="exact" w:wrap="around" w:vAnchor="page" w:hAnchor="page" w:x="1419" w:y="6408" w:anchorLock="1"/>
        <w:textAlignment w:val="bottom"/>
        <w:rPr>
          <w:rFonts w:eastAsia="黑体"/>
          <w:szCs w:val="28"/>
        </w:rPr>
      </w:pPr>
    </w:p>
    <w:p w14:paraId="3BFB7108">
      <w:pPr>
        <w:pStyle w:val="129"/>
        <w:framePr w:w="9639" w:h="6974" w:hRule="exact" w:wrap="around" w:vAnchor="page" w:hAnchor="page" w:x="1419" w:y="6408" w:anchorLock="1"/>
        <w:textAlignment w:val="bottom"/>
        <w:rPr>
          <w:rFonts w:eastAsia="黑体"/>
          <w:szCs w:val="28"/>
        </w:rPr>
      </w:pPr>
    </w:p>
    <w:p w14:paraId="382C0836">
      <w:pPr>
        <w:framePr w:w="9639" w:h="6974" w:hRule="exact" w:wrap="around" w:vAnchor="page" w:hAnchor="page" w:x="1419" w:y="6408" w:anchorLock="1"/>
        <w:spacing w:line="760" w:lineRule="exact"/>
        <w:ind w:left="-1418"/>
      </w:pPr>
    </w:p>
    <w:p w14:paraId="0C43E453">
      <w:pPr>
        <w:pStyle w:val="129"/>
        <w:framePr w:w="9639" w:h="6974" w:hRule="exact" w:wrap="around" w:vAnchor="page" w:hAnchor="page" w:x="1419" w:y="6408" w:anchorLock="1"/>
        <w:textAlignment w:val="bottom"/>
        <w:rPr>
          <w:rFonts w:eastAsia="黑体"/>
          <w:szCs w:val="28"/>
        </w:rPr>
      </w:pPr>
    </w:p>
    <w:p w14:paraId="239AFC6D">
      <w:pPr>
        <w:pStyle w:val="129"/>
        <w:framePr w:w="9639" w:h="6974" w:hRule="exact" w:wrap="around" w:vAnchor="page" w:hAnchor="page" w:x="1419" w:y="6408" w:anchorLock="1"/>
        <w:spacing w:before="440" w:after="160"/>
        <w:textAlignment w:val="bottom"/>
        <w:rPr>
          <w:sz w:val="24"/>
          <w:szCs w:val="28"/>
        </w:rPr>
      </w:pPr>
      <w:bookmarkStart w:id="9" w:name="下拉1"/>
      <w:r>
        <w:rPr>
          <w:rFonts w:ascii="Times New Roman" w:hAnsi="Times New Roman" w:eastAsia="宋体" w:cs="Times New Roman"/>
          <w:sz w:val="24"/>
          <w:szCs w:val="28"/>
          <w:lang w:val="en-US" w:eastAsia="zh-CN" w:bidi="ar-SA"/>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r>
        <w:rPr>
          <w:rFonts w:ascii="Times New Roman" w:hAnsi="Times New Roman" w:eastAsia="宋体" w:cs="Times New Roman"/>
          <w:sz w:val="24"/>
          <w:szCs w:val="28"/>
          <w:lang w:val="en-US" w:eastAsia="zh-CN" w:bidi="ar-SA"/>
        </w:rPr>
        <w:instrText xml:space="preserve">FORMDROPDOWN</w:instrText>
      </w:r>
      <w:r>
        <w:rPr>
          <w:rFonts w:ascii="Times New Roman" w:hAnsi="Times New Roman" w:eastAsia="宋体" w:cs="Times New Roman"/>
          <w:sz w:val="24"/>
          <w:szCs w:val="28"/>
          <w:lang w:val="en-US" w:eastAsia="zh-CN" w:bidi="ar-SA"/>
        </w:rPr>
        <w:fldChar w:fldCharType="separate"/>
      </w:r>
      <w:r>
        <w:rPr>
          <w:rFonts w:ascii="Times New Roman" w:hAnsi="Times New Roman" w:eastAsia="宋体" w:cs="Times New Roman"/>
          <w:sz w:val="24"/>
          <w:szCs w:val="28"/>
          <w:lang w:val="en-US" w:eastAsia="zh-CN" w:bidi="ar-SA"/>
        </w:rPr>
        <w:fldChar w:fldCharType="end"/>
      </w:r>
      <w:bookmarkEnd w:id="9"/>
    </w:p>
    <w:p w14:paraId="0BD2A4E3">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14:paraId="2B0C504A">
      <w:pPr>
        <w:pStyle w:val="197"/>
        <w:framePr w:wrap="around" w:y="14176"/>
      </w:pPr>
      <w:bookmarkStart w:id="11"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1"/>
      <w:r>
        <w:rPr>
          <w:rFonts w:ascii="黑体"/>
        </w:rPr>
        <w:t>-</w:t>
      </w:r>
      <w:bookmarkStart w:id="12" w:name="PLSH_DATE_M"/>
      <w:r>
        <w:rPr>
          <w:rFonts w:ascii="黑体" w:hAnsi="Times New Roman" w:eastAsia="黑体" w:cs="Times New Roman"/>
          <w:sz w:val="28"/>
          <w:lang w:val="en-US" w:eastAsia="zh-CN" w:bidi="ar-SA"/>
        </w:rPr>
        <w:fldChar w:fldCharType="begin">
          <w:ffData>
            <w:name w:val="PLSH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2"/>
      <w:r>
        <w:rPr>
          <w:rFonts w:ascii="黑体"/>
        </w:rPr>
        <w:t>-</w:t>
      </w:r>
      <w:bookmarkStart w:id="13" w:name="PLSH_DATE_D"/>
      <w:r>
        <w:rPr>
          <w:rFonts w:hint="eastAsia" w:ascii="黑体" w:hAnsi="Times New Roman" w:eastAsia="黑体" w:cs="Times New Roman"/>
          <w:sz w:val="28"/>
          <w:lang w:val="en-US" w:eastAsia="zh-CN" w:bidi="ar-SA"/>
        </w:rPr>
        <w:fldChar w:fldCharType="begin">
          <w:ffData>
            <w:name w:val="PLSH_DATE_D"/>
            <w:enabled/>
            <w:calcOnExit w:val="0"/>
            <w:textInput>
              <w:default w:val="xx"/>
              <w:maxLength w:val="2"/>
            </w:textInput>
          </w:ffData>
        </w:fldChar>
      </w:r>
      <w:r>
        <w:rPr>
          <w:rFonts w:hint="eastAsia" w:ascii="黑体" w:hAnsi="Times New Roman" w:eastAsia="黑体" w:cs="Times New Roman"/>
          <w:sz w:val="28"/>
          <w:lang w:val="en-US" w:eastAsia="zh-CN" w:bidi="ar-SA"/>
        </w:rPr>
        <w:instrText xml:space="preserve">FORMTEXT</w:instrText>
      </w:r>
      <w:r>
        <w:rPr>
          <w:rFonts w:hint="eastAsia" w:ascii="黑体" w:hAnsi="Times New Roman" w:eastAsia="黑体" w:cs="Times New Roman"/>
          <w:sz w:val="28"/>
          <w:lang w:val="en-US" w:eastAsia="zh-CN" w:bidi="ar-SA"/>
        </w:rPr>
        <w:fldChar w:fldCharType="separate"/>
      </w:r>
      <w:r>
        <w:rPr>
          <w:rFonts w:hint="eastAsia" w:ascii="黑体" w:hAnsi="Times New Roman" w:eastAsia="黑体" w:cs="Times New Roman"/>
          <w:sz w:val="28"/>
          <w:lang w:val="en-US" w:eastAsia="zh-CN" w:bidi="ar-SA"/>
        </w:rPr>
        <w:t>xx</w:t>
      </w:r>
      <w:r>
        <w:rPr>
          <w:rFonts w:hint="eastAsia" w:ascii="黑体" w:hAnsi="Times New Roman" w:eastAsia="黑体" w:cs="Times New Roman"/>
          <w:sz w:val="28"/>
          <w:lang w:val="en-US" w:eastAsia="zh-CN" w:bidi="ar-SA"/>
        </w:rPr>
        <w:fldChar w:fldCharType="end"/>
      </w:r>
      <w:bookmarkEnd w:id="13"/>
      <w:r>
        <w:rPr>
          <w:rFonts w:hint="eastAsia"/>
        </w:rPr>
        <w:t>发布</w:t>
      </w:r>
    </w:p>
    <w:p w14:paraId="1270E6BA">
      <w:pPr>
        <w:pStyle w:val="198"/>
        <w:framePr w:wrap="around" w:y="14176"/>
      </w:pPr>
      <w:bookmarkStart w:id="14"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4"/>
      <w:r>
        <w:rPr>
          <w:rFonts w:ascii="黑体"/>
        </w:rPr>
        <w:t>-</w:t>
      </w:r>
      <w:bookmarkStart w:id="15" w:name="CROT_DATE_M"/>
      <w:r>
        <w:rPr>
          <w:rFonts w:ascii="黑体" w:hAnsi="Times New Roman" w:eastAsia="黑体" w:cs="Times New Roman"/>
          <w:sz w:val="28"/>
          <w:lang w:val="en-US" w:eastAsia="zh-CN" w:bidi="ar-SA"/>
        </w:rPr>
        <w:fldChar w:fldCharType="begin">
          <w:ffData>
            <w:name w:val="CROT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5"/>
      <w:r>
        <w:rPr>
          <w:rFonts w:ascii="黑体"/>
        </w:rPr>
        <w:t>-</w:t>
      </w:r>
      <w:bookmarkStart w:id="16" w:name="CROT_DATE_D"/>
      <w:r>
        <w:rPr>
          <w:rFonts w:ascii="黑体" w:hAnsi="Times New Roman" w:eastAsia="黑体" w:cs="Times New Roman"/>
          <w:sz w:val="28"/>
          <w:lang w:val="en-US" w:eastAsia="zh-CN" w:bidi="ar-SA"/>
        </w:rPr>
        <w:fldChar w:fldCharType="begin">
          <w:ffData>
            <w:name w:val="CROT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6"/>
      <w:r>
        <w:rPr>
          <w:rFonts w:hint="eastAsia"/>
        </w:rPr>
        <w:t>实施</w:t>
      </w:r>
    </w:p>
    <w:p w14:paraId="105017C2">
      <w:pPr>
        <w:pStyle w:val="155"/>
        <w:framePr w:h="584" w:hRule="exact" w:hSpace="181" w:vSpace="181" w:wrap="around" w:vAnchor="page" w:y="14727"/>
        <w:rPr>
          <w:rFonts w:hint="eastAsia" w:hAnsi="黑体"/>
        </w:rPr>
      </w:pPr>
      <w:bookmarkStart w:id="17" w:name="fm"/>
      <w:r>
        <w:rPr>
          <w:rFonts w:ascii="黑体" w:hAnsi="黑体" w:eastAsia="黑体" w:cs="Times New Roman"/>
          <w:b w:val="0"/>
          <w:w w:val="100"/>
          <w:sz w:val="28"/>
          <w:lang w:val="en-US" w:eastAsia="zh-CN" w:bidi="ar-SA"/>
        </w:rPr>
        <w:fldChar w:fldCharType="begin">
          <w:ffData>
            <w:name w:val="fm"/>
            <w:enabled/>
            <w:calcOnExit w:val="0"/>
            <w:textInput>
              <w:default w:val="中国欧洲经济技术合作协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中国欧洲经济技术合作协会</w:t>
      </w:r>
      <w:r>
        <w:rPr>
          <w:rFonts w:ascii="黑体" w:hAnsi="黑体" w:eastAsia="黑体" w:cs="Times New Roman"/>
          <w:b w:val="0"/>
          <w:w w:val="100"/>
          <w:sz w:val="28"/>
          <w:lang w:val="en-US" w:eastAsia="zh-CN" w:bidi="ar-SA"/>
        </w:rPr>
        <w:fldChar w:fldCharType="end"/>
      </w:r>
      <w:bookmarkEnd w:id="17"/>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744177C8">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pgBorders>
            <w:top w:val="none" w:sz="0" w:space="0"/>
            <w:left w:val="none" w:sz="0" w:space="0"/>
            <w:bottom w:val="none" w:sz="0" w:space="0"/>
            <w:right w:val="none" w:sz="0" w:space="0"/>
          </w:pgBorders>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46FD10DA">
      <w:pPr>
        <w:pStyle w:val="95"/>
        <w:spacing w:before="850" w:after="680" w:afterLines="0"/>
        <w:rPr>
          <w:rFonts w:hint="eastAsia" w:cs="Times New Roman"/>
          <w:spacing w:val="320"/>
        </w:rPr>
      </w:pPr>
      <w:bookmarkStart w:id="18" w:name="_Toc150158766"/>
      <w:bookmarkStart w:id="19" w:name="_Toc150158739"/>
      <w:bookmarkStart w:id="20" w:name="BookMark1"/>
      <w:bookmarkStart w:id="21" w:name="_Toc148612844"/>
      <w:r>
        <w:rPr>
          <w:rFonts w:hint="eastAsia" w:cs="Times New Roman"/>
          <w:spacing w:val="320"/>
        </w:rPr>
        <w:t>目次</w:t>
      </w:r>
    </w:p>
    <w:p w14:paraId="08F9FA1F">
      <w:pPr>
        <w:pStyle w:val="20"/>
        <w:tabs>
          <w:tab w:val="right" w:leader="dot" w:pos="9355"/>
        </w:tabs>
      </w:pPr>
      <w:bookmarkStart w:id="95" w:name="_GoBack"/>
      <w:bookmarkEnd w:id="95"/>
      <w:r>
        <w:fldChar w:fldCharType="begin"/>
      </w:r>
      <w:r>
        <w:instrText xml:space="preserve"> TOC \o "1-1" \h \t "标准文件_一级条标题,2,标准文件_附录一级条标题,2," </w:instrText>
      </w:r>
      <w:r>
        <w:fldChar w:fldCharType="separate"/>
      </w:r>
      <w:r>
        <w:fldChar w:fldCharType="begin"/>
      </w:r>
      <w:r>
        <w:instrText xml:space="preserve"> HYPERLINK \l _Toc6768 </w:instrText>
      </w:r>
      <w:r>
        <w:fldChar w:fldCharType="separate"/>
      </w:r>
      <w:r>
        <w:rPr>
          <w:rFonts w:hint="eastAsia"/>
          <w:spacing w:val="320"/>
        </w:rPr>
        <w:t>前</w:t>
      </w:r>
      <w:r>
        <w:rPr>
          <w:rFonts w:hint="eastAsia"/>
        </w:rPr>
        <w:t>言</w:t>
      </w:r>
      <w:r>
        <w:tab/>
      </w:r>
      <w:r>
        <w:fldChar w:fldCharType="begin"/>
      </w:r>
      <w:r>
        <w:instrText xml:space="preserve"> PAGEREF _Toc6768 \h </w:instrText>
      </w:r>
      <w:r>
        <w:fldChar w:fldCharType="separate"/>
      </w:r>
      <w:r>
        <w:t>II</w:t>
      </w:r>
      <w:r>
        <w:fldChar w:fldCharType="end"/>
      </w:r>
      <w:r>
        <w:fldChar w:fldCharType="end"/>
      </w:r>
    </w:p>
    <w:p w14:paraId="21F3859F">
      <w:pPr>
        <w:pStyle w:val="20"/>
        <w:tabs>
          <w:tab w:val="right" w:leader="dot" w:pos="9355"/>
        </w:tabs>
      </w:pPr>
      <w:r>
        <w:fldChar w:fldCharType="begin"/>
      </w:r>
      <w:r>
        <w:instrText xml:space="preserve"> HYPERLINK \l _Toc22435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_Toc22435 \h </w:instrText>
      </w:r>
      <w:r>
        <w:fldChar w:fldCharType="separate"/>
      </w:r>
      <w:r>
        <w:t>1</w:t>
      </w:r>
      <w:r>
        <w:fldChar w:fldCharType="end"/>
      </w:r>
      <w:r>
        <w:fldChar w:fldCharType="end"/>
      </w:r>
    </w:p>
    <w:p w14:paraId="214A13F7">
      <w:pPr>
        <w:pStyle w:val="20"/>
        <w:tabs>
          <w:tab w:val="right" w:leader="dot" w:pos="9355"/>
        </w:tabs>
      </w:pPr>
      <w:r>
        <w:fldChar w:fldCharType="begin"/>
      </w:r>
      <w:r>
        <w:instrText xml:space="preserve"> HYPERLINK \l _Toc26724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_Toc26724 \h </w:instrText>
      </w:r>
      <w:r>
        <w:fldChar w:fldCharType="separate"/>
      </w:r>
      <w:r>
        <w:t>1</w:t>
      </w:r>
      <w:r>
        <w:fldChar w:fldCharType="end"/>
      </w:r>
      <w:r>
        <w:fldChar w:fldCharType="end"/>
      </w:r>
    </w:p>
    <w:p w14:paraId="05B7BDB3">
      <w:pPr>
        <w:pStyle w:val="20"/>
        <w:tabs>
          <w:tab w:val="right" w:leader="dot" w:pos="9355"/>
        </w:tabs>
      </w:pPr>
      <w:r>
        <w:fldChar w:fldCharType="begin"/>
      </w:r>
      <w:r>
        <w:instrText xml:space="preserve"> HYPERLINK \l _Toc12997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_Toc12997 \h </w:instrText>
      </w:r>
      <w:r>
        <w:fldChar w:fldCharType="separate"/>
      </w:r>
      <w:r>
        <w:t>1</w:t>
      </w:r>
      <w:r>
        <w:fldChar w:fldCharType="end"/>
      </w:r>
      <w:r>
        <w:fldChar w:fldCharType="end"/>
      </w:r>
    </w:p>
    <w:p w14:paraId="6DC8A622">
      <w:pPr>
        <w:pStyle w:val="20"/>
        <w:tabs>
          <w:tab w:val="right" w:leader="dot" w:pos="9355"/>
        </w:tabs>
      </w:pPr>
      <w:r>
        <w:fldChar w:fldCharType="begin"/>
      </w:r>
      <w:r>
        <w:instrText xml:space="preserve"> HYPERLINK \l _Toc7335 </w:instrText>
      </w:r>
      <w:r>
        <w:fldChar w:fldCharType="separate"/>
      </w:r>
      <w:r>
        <w:rPr>
          <w:rFonts w:hint="eastAsia" w:ascii="黑体" w:eastAsia="黑体"/>
          <w:i w:val="0"/>
          <w:szCs w:val="24"/>
          <w:lang w:val="en-US" w:eastAsia="zh-CN"/>
        </w:rPr>
        <w:t xml:space="preserve">4 </w:t>
      </w:r>
      <w:r>
        <w:rPr>
          <w:rFonts w:hint="eastAsia"/>
          <w:szCs w:val="24"/>
          <w:lang w:val="en-US" w:eastAsia="zh-CN"/>
        </w:rPr>
        <w:t>产品质</w:t>
      </w:r>
      <w:r>
        <w:rPr>
          <w:rFonts w:hint="eastAsia"/>
          <w:szCs w:val="24"/>
          <w:highlight w:val="none"/>
          <w:lang w:val="en-US" w:eastAsia="zh-CN"/>
        </w:rPr>
        <w:t>量分级</w:t>
      </w:r>
      <w:r>
        <w:tab/>
      </w:r>
      <w:r>
        <w:fldChar w:fldCharType="begin"/>
      </w:r>
      <w:r>
        <w:instrText xml:space="preserve"> PAGEREF _Toc7335 \h </w:instrText>
      </w:r>
      <w:r>
        <w:fldChar w:fldCharType="separate"/>
      </w:r>
      <w:r>
        <w:t>1</w:t>
      </w:r>
      <w:r>
        <w:fldChar w:fldCharType="end"/>
      </w:r>
      <w:r>
        <w:fldChar w:fldCharType="end"/>
      </w:r>
    </w:p>
    <w:p w14:paraId="1B95C974">
      <w:pPr>
        <w:pStyle w:val="25"/>
        <w:tabs>
          <w:tab w:val="right" w:leader="dot" w:pos="9355"/>
          <w:tab w:val="clear" w:pos="9344"/>
        </w:tabs>
      </w:pPr>
      <w:r>
        <w:fldChar w:fldCharType="begin"/>
      </w:r>
      <w:r>
        <w:instrText xml:space="preserve"> HYPERLINK \l _Toc1820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4.1 </w:t>
      </w:r>
      <w:r>
        <w:rPr>
          <w:rFonts w:hint="eastAsia"/>
          <w:szCs w:val="24"/>
          <w:highlight w:val="none"/>
          <w:lang w:val="en-US" w:eastAsia="zh-CN"/>
        </w:rPr>
        <w:t>外观要求</w:t>
      </w:r>
      <w:r>
        <w:tab/>
      </w:r>
      <w:r>
        <w:fldChar w:fldCharType="begin"/>
      </w:r>
      <w:r>
        <w:instrText xml:space="preserve"> PAGEREF _Toc1820 \h </w:instrText>
      </w:r>
      <w:r>
        <w:fldChar w:fldCharType="separate"/>
      </w:r>
      <w:r>
        <w:t>1</w:t>
      </w:r>
      <w:r>
        <w:fldChar w:fldCharType="end"/>
      </w:r>
      <w:r>
        <w:fldChar w:fldCharType="end"/>
      </w:r>
    </w:p>
    <w:p w14:paraId="22BC8C79">
      <w:pPr>
        <w:pStyle w:val="25"/>
        <w:tabs>
          <w:tab w:val="right" w:leader="dot" w:pos="9355"/>
          <w:tab w:val="clear" w:pos="9344"/>
        </w:tabs>
      </w:pPr>
      <w:r>
        <w:fldChar w:fldCharType="begin"/>
      </w:r>
      <w:r>
        <w:instrText xml:space="preserve"> HYPERLINK \l _Toc1502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4.2 </w:t>
      </w:r>
      <w:r>
        <w:rPr>
          <w:rFonts w:hint="eastAsia"/>
          <w:szCs w:val="24"/>
          <w:highlight w:val="none"/>
          <w:lang w:val="en-US" w:eastAsia="zh-CN"/>
        </w:rPr>
        <w:t>质量分级</w:t>
      </w:r>
      <w:r>
        <w:tab/>
      </w:r>
      <w:r>
        <w:fldChar w:fldCharType="begin"/>
      </w:r>
      <w:r>
        <w:instrText xml:space="preserve"> PAGEREF _Toc1502 \h </w:instrText>
      </w:r>
      <w:r>
        <w:fldChar w:fldCharType="separate"/>
      </w:r>
      <w:r>
        <w:t>1</w:t>
      </w:r>
      <w:r>
        <w:fldChar w:fldCharType="end"/>
      </w:r>
      <w:r>
        <w:fldChar w:fldCharType="end"/>
      </w:r>
    </w:p>
    <w:p w14:paraId="3C7B40F3">
      <w:pPr>
        <w:pStyle w:val="25"/>
        <w:tabs>
          <w:tab w:val="right" w:leader="dot" w:pos="9355"/>
          <w:tab w:val="clear" w:pos="9344"/>
        </w:tabs>
      </w:pPr>
      <w:r>
        <w:fldChar w:fldCharType="begin"/>
      </w:r>
      <w:r>
        <w:instrText xml:space="preserve"> HYPERLINK \l _Toc27624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4.3 </w:t>
      </w:r>
      <w:r>
        <w:rPr>
          <w:rFonts w:hint="default"/>
          <w:szCs w:val="24"/>
          <w:highlight w:val="none"/>
          <w:lang w:val="en-US" w:eastAsia="zh-CN"/>
        </w:rPr>
        <w:t>等级适用性</w:t>
      </w:r>
      <w:r>
        <w:tab/>
      </w:r>
      <w:r>
        <w:fldChar w:fldCharType="begin"/>
      </w:r>
      <w:r>
        <w:instrText xml:space="preserve"> PAGEREF _Toc27624 \h </w:instrText>
      </w:r>
      <w:r>
        <w:fldChar w:fldCharType="separate"/>
      </w:r>
      <w:r>
        <w:t>2</w:t>
      </w:r>
      <w:r>
        <w:fldChar w:fldCharType="end"/>
      </w:r>
      <w:r>
        <w:fldChar w:fldCharType="end"/>
      </w:r>
    </w:p>
    <w:p w14:paraId="5208A4D1">
      <w:pPr>
        <w:pStyle w:val="20"/>
        <w:tabs>
          <w:tab w:val="right" w:leader="dot" w:pos="9355"/>
        </w:tabs>
      </w:pPr>
      <w:r>
        <w:fldChar w:fldCharType="begin"/>
      </w:r>
      <w:r>
        <w:instrText xml:space="preserve"> HYPERLINK \l _Toc31941 </w:instrText>
      </w:r>
      <w:r>
        <w:fldChar w:fldCharType="separate"/>
      </w:r>
      <w:r>
        <w:rPr>
          <w:rFonts w:hint="eastAsia" w:ascii="黑体" w:eastAsia="黑体"/>
          <w:i w:val="0"/>
          <w:lang w:val="en-US" w:eastAsia="zh-CN"/>
        </w:rPr>
        <w:t xml:space="preserve">5 </w:t>
      </w:r>
      <w:r>
        <w:rPr>
          <w:rFonts w:hint="eastAsia"/>
          <w:highlight w:val="none"/>
          <w:lang w:val="en-US" w:eastAsia="zh-CN"/>
        </w:rPr>
        <w:t>检测方法</w:t>
      </w:r>
      <w:r>
        <w:tab/>
      </w:r>
      <w:r>
        <w:fldChar w:fldCharType="begin"/>
      </w:r>
      <w:r>
        <w:instrText xml:space="preserve"> PAGEREF _Toc31941 \h </w:instrText>
      </w:r>
      <w:r>
        <w:fldChar w:fldCharType="separate"/>
      </w:r>
      <w:r>
        <w:t>2</w:t>
      </w:r>
      <w:r>
        <w:fldChar w:fldCharType="end"/>
      </w:r>
      <w:r>
        <w:fldChar w:fldCharType="end"/>
      </w:r>
    </w:p>
    <w:p w14:paraId="3DCF75E1">
      <w:pPr>
        <w:pStyle w:val="25"/>
        <w:tabs>
          <w:tab w:val="right" w:leader="dot" w:pos="9355"/>
          <w:tab w:val="clear" w:pos="9344"/>
        </w:tabs>
      </w:pPr>
      <w:r>
        <w:fldChar w:fldCharType="begin"/>
      </w:r>
      <w:r>
        <w:instrText xml:space="preserve"> HYPERLINK \l _Toc879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5.1 </w:t>
      </w:r>
      <w:r>
        <w:rPr>
          <w:rFonts w:hint="eastAsia"/>
          <w:szCs w:val="24"/>
          <w:highlight w:val="none"/>
          <w:lang w:val="en-US" w:eastAsia="zh-CN"/>
        </w:rPr>
        <w:t>采样</w:t>
      </w:r>
      <w:r>
        <w:tab/>
      </w:r>
      <w:r>
        <w:fldChar w:fldCharType="begin"/>
      </w:r>
      <w:r>
        <w:instrText xml:space="preserve"> PAGEREF _Toc879 \h </w:instrText>
      </w:r>
      <w:r>
        <w:fldChar w:fldCharType="separate"/>
      </w:r>
      <w:r>
        <w:t>2</w:t>
      </w:r>
      <w:r>
        <w:fldChar w:fldCharType="end"/>
      </w:r>
      <w:r>
        <w:fldChar w:fldCharType="end"/>
      </w:r>
    </w:p>
    <w:p w14:paraId="18148A12">
      <w:pPr>
        <w:pStyle w:val="25"/>
        <w:tabs>
          <w:tab w:val="right" w:leader="dot" w:pos="9355"/>
          <w:tab w:val="clear" w:pos="9344"/>
        </w:tabs>
      </w:pPr>
      <w:r>
        <w:fldChar w:fldCharType="begin"/>
      </w:r>
      <w:r>
        <w:instrText xml:space="preserve"> HYPERLINK \l _Toc32035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5.2 </w:t>
      </w:r>
      <w:r>
        <w:rPr>
          <w:rFonts w:hint="eastAsia" w:hAnsi="Times New Roman" w:cs="Times New Roman"/>
          <w:szCs w:val="24"/>
          <w:highlight w:val="none"/>
          <w:lang w:val="en-US" w:eastAsia="zh-CN"/>
        </w:rPr>
        <w:t>外观检验</w:t>
      </w:r>
      <w:r>
        <w:tab/>
      </w:r>
      <w:r>
        <w:fldChar w:fldCharType="begin"/>
      </w:r>
      <w:r>
        <w:instrText xml:space="preserve"> PAGEREF _Toc32035 \h </w:instrText>
      </w:r>
      <w:r>
        <w:fldChar w:fldCharType="separate"/>
      </w:r>
      <w:r>
        <w:t>2</w:t>
      </w:r>
      <w:r>
        <w:fldChar w:fldCharType="end"/>
      </w:r>
      <w:r>
        <w:fldChar w:fldCharType="end"/>
      </w:r>
    </w:p>
    <w:p w14:paraId="6B4F2ABC">
      <w:pPr>
        <w:pStyle w:val="25"/>
        <w:tabs>
          <w:tab w:val="right" w:leader="dot" w:pos="9355"/>
          <w:tab w:val="clear" w:pos="9344"/>
        </w:tabs>
      </w:pPr>
      <w:r>
        <w:fldChar w:fldCharType="begin"/>
      </w:r>
      <w:r>
        <w:instrText xml:space="preserve"> HYPERLINK \l _Toc31394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5.3 </w:t>
      </w:r>
      <w:r>
        <w:rPr>
          <w:rFonts w:hint="eastAsia"/>
          <w:szCs w:val="24"/>
          <w:highlight w:val="none"/>
          <w:lang w:val="en-US" w:eastAsia="zh-CN"/>
        </w:rPr>
        <w:t>碘含量测定</w:t>
      </w:r>
      <w:r>
        <w:tab/>
      </w:r>
      <w:r>
        <w:fldChar w:fldCharType="begin"/>
      </w:r>
      <w:r>
        <w:instrText xml:space="preserve"> PAGEREF _Toc31394 \h </w:instrText>
      </w:r>
      <w:r>
        <w:fldChar w:fldCharType="separate"/>
      </w:r>
      <w:r>
        <w:t>2</w:t>
      </w:r>
      <w:r>
        <w:fldChar w:fldCharType="end"/>
      </w:r>
      <w:r>
        <w:fldChar w:fldCharType="end"/>
      </w:r>
    </w:p>
    <w:p w14:paraId="5BC0A018">
      <w:pPr>
        <w:pStyle w:val="25"/>
        <w:tabs>
          <w:tab w:val="right" w:leader="dot" w:pos="9355"/>
          <w:tab w:val="clear" w:pos="9344"/>
        </w:tabs>
      </w:pPr>
      <w:r>
        <w:fldChar w:fldCharType="begin"/>
      </w:r>
      <w:r>
        <w:instrText xml:space="preserve"> HYPERLINK \l _Toc18241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5.4 </w:t>
      </w:r>
      <w:r>
        <w:rPr>
          <w:rFonts w:hint="default" w:hAnsi="Times New Roman" w:cs="Times New Roman"/>
          <w:szCs w:val="24"/>
          <w:highlight w:val="none"/>
          <w:lang w:val="en-US" w:eastAsia="zh-CN"/>
        </w:rPr>
        <w:t>氯化物及溴化物含量的测定</w:t>
      </w:r>
      <w:r>
        <w:rPr>
          <w:rFonts w:hint="eastAsia" w:hAnsi="Times New Roman" w:cs="Times New Roman"/>
          <w:szCs w:val="24"/>
          <w:highlight w:val="none"/>
          <w:lang w:val="en-US" w:eastAsia="zh-CN"/>
        </w:rPr>
        <w:t>（</w:t>
      </w:r>
      <w:r>
        <w:rPr>
          <w:rFonts w:hint="default" w:hAnsi="Times New Roman" w:cs="Times New Roman"/>
          <w:szCs w:val="24"/>
          <w:highlight w:val="none"/>
          <w:lang w:val="en-US" w:eastAsia="zh-CN"/>
        </w:rPr>
        <w:t>以CI</w:t>
      </w:r>
      <w:r>
        <w:rPr>
          <w:rFonts w:hint="eastAsia" w:cs="Times New Roman"/>
          <w:szCs w:val="24"/>
          <w:highlight w:val="none"/>
          <w:vertAlign w:val="superscript"/>
          <w:lang w:val="en-US" w:eastAsia="zh-CN"/>
        </w:rPr>
        <w:t>-</w:t>
      </w:r>
      <w:r>
        <w:rPr>
          <w:rFonts w:hint="default" w:hAnsi="Times New Roman" w:cs="Times New Roman"/>
          <w:szCs w:val="24"/>
          <w:highlight w:val="none"/>
          <w:lang w:val="en-US" w:eastAsia="zh-CN"/>
        </w:rPr>
        <w:t>计</w:t>
      </w:r>
      <w:r>
        <w:rPr>
          <w:rFonts w:hint="eastAsia" w:hAnsi="Times New Roman" w:cs="Times New Roman"/>
          <w:szCs w:val="24"/>
          <w:highlight w:val="none"/>
          <w:lang w:val="en-US" w:eastAsia="zh-CN"/>
        </w:rPr>
        <w:t>）</w:t>
      </w:r>
      <w:r>
        <w:tab/>
      </w:r>
      <w:r>
        <w:fldChar w:fldCharType="begin"/>
      </w:r>
      <w:r>
        <w:instrText xml:space="preserve"> PAGEREF _Toc18241 \h </w:instrText>
      </w:r>
      <w:r>
        <w:fldChar w:fldCharType="separate"/>
      </w:r>
      <w:r>
        <w:t>2</w:t>
      </w:r>
      <w:r>
        <w:fldChar w:fldCharType="end"/>
      </w:r>
      <w:r>
        <w:fldChar w:fldCharType="end"/>
      </w:r>
    </w:p>
    <w:p w14:paraId="451DF1D8">
      <w:pPr>
        <w:pStyle w:val="25"/>
        <w:tabs>
          <w:tab w:val="right" w:leader="dot" w:pos="9355"/>
          <w:tab w:val="clear" w:pos="9344"/>
        </w:tabs>
      </w:pPr>
      <w:r>
        <w:fldChar w:fldCharType="begin"/>
      </w:r>
      <w:r>
        <w:instrText xml:space="preserve"> HYPERLINK \l _Toc17220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5.5 </w:t>
      </w:r>
      <w:r>
        <w:rPr>
          <w:rFonts w:hint="default" w:hAnsi="Times New Roman" w:cs="Times New Roman"/>
          <w:szCs w:val="24"/>
          <w:highlight w:val="none"/>
          <w:lang w:val="en-US" w:eastAsia="zh-CN"/>
        </w:rPr>
        <w:t>硫酸盐</w:t>
      </w:r>
      <w:r>
        <w:rPr>
          <w:rFonts w:hint="eastAsia" w:hAnsi="Times New Roman" w:cs="Times New Roman"/>
          <w:szCs w:val="24"/>
          <w:highlight w:val="none"/>
          <w:lang w:val="en-US" w:eastAsia="zh-CN"/>
        </w:rPr>
        <w:t>含量的测定</w:t>
      </w:r>
      <w:r>
        <w:tab/>
      </w:r>
      <w:r>
        <w:fldChar w:fldCharType="begin"/>
      </w:r>
      <w:r>
        <w:instrText xml:space="preserve"> PAGEREF _Toc17220 \h </w:instrText>
      </w:r>
      <w:r>
        <w:fldChar w:fldCharType="separate"/>
      </w:r>
      <w:r>
        <w:t>3</w:t>
      </w:r>
      <w:r>
        <w:fldChar w:fldCharType="end"/>
      </w:r>
      <w:r>
        <w:fldChar w:fldCharType="end"/>
      </w:r>
    </w:p>
    <w:p w14:paraId="17ABE6E2">
      <w:pPr>
        <w:pStyle w:val="25"/>
        <w:tabs>
          <w:tab w:val="right" w:leader="dot" w:pos="9355"/>
          <w:tab w:val="clear" w:pos="9344"/>
        </w:tabs>
      </w:pPr>
      <w:r>
        <w:fldChar w:fldCharType="begin"/>
      </w:r>
      <w:r>
        <w:instrText xml:space="preserve"> HYPERLINK \l _Toc22024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5.6 </w:t>
      </w:r>
      <w:r>
        <w:rPr>
          <w:rFonts w:hint="eastAsia" w:hAnsi="Times New Roman" w:cs="Times New Roman"/>
          <w:szCs w:val="24"/>
          <w:highlight w:val="none"/>
          <w:lang w:val="en-US" w:eastAsia="zh-CN"/>
        </w:rPr>
        <w:t>不挥发物的测定</w:t>
      </w:r>
      <w:r>
        <w:tab/>
      </w:r>
      <w:r>
        <w:fldChar w:fldCharType="begin"/>
      </w:r>
      <w:r>
        <w:instrText xml:space="preserve"> PAGEREF _Toc22024 \h </w:instrText>
      </w:r>
      <w:r>
        <w:fldChar w:fldCharType="separate"/>
      </w:r>
      <w:r>
        <w:t>3</w:t>
      </w:r>
      <w:r>
        <w:fldChar w:fldCharType="end"/>
      </w:r>
      <w:r>
        <w:fldChar w:fldCharType="end"/>
      </w:r>
    </w:p>
    <w:p w14:paraId="48585207">
      <w:pPr>
        <w:pStyle w:val="20"/>
        <w:tabs>
          <w:tab w:val="right" w:leader="dot" w:pos="9355"/>
        </w:tabs>
      </w:pPr>
      <w:r>
        <w:fldChar w:fldCharType="begin"/>
      </w:r>
      <w:r>
        <w:instrText xml:space="preserve"> HYPERLINK \l _Toc17408 </w:instrText>
      </w:r>
      <w:r>
        <w:fldChar w:fldCharType="separate"/>
      </w:r>
      <w:r>
        <w:rPr>
          <w:rFonts w:hint="eastAsia" w:ascii="黑体" w:hAnsi="Times New Roman" w:eastAsia="黑体" w:cs="Times New Roman"/>
          <w:i w:val="0"/>
          <w:lang w:val="en-US" w:eastAsia="zh-CN"/>
        </w:rPr>
        <w:t xml:space="preserve">6 </w:t>
      </w:r>
      <w:r>
        <w:rPr>
          <w:rFonts w:hint="eastAsia" w:hAnsi="Times New Roman" w:cs="Times New Roman"/>
          <w:highlight w:val="none"/>
          <w:lang w:val="en-US" w:eastAsia="zh-CN"/>
        </w:rPr>
        <w:t>检验规则</w:t>
      </w:r>
      <w:r>
        <w:tab/>
      </w:r>
      <w:r>
        <w:fldChar w:fldCharType="begin"/>
      </w:r>
      <w:r>
        <w:instrText xml:space="preserve"> PAGEREF _Toc17408 \h </w:instrText>
      </w:r>
      <w:r>
        <w:fldChar w:fldCharType="separate"/>
      </w:r>
      <w:r>
        <w:t>4</w:t>
      </w:r>
      <w:r>
        <w:fldChar w:fldCharType="end"/>
      </w:r>
      <w:r>
        <w:fldChar w:fldCharType="end"/>
      </w:r>
    </w:p>
    <w:p w14:paraId="52BC7343">
      <w:pPr>
        <w:pStyle w:val="25"/>
        <w:tabs>
          <w:tab w:val="right" w:leader="dot" w:pos="9355"/>
          <w:tab w:val="clear" w:pos="9344"/>
        </w:tabs>
      </w:pPr>
      <w:r>
        <w:fldChar w:fldCharType="begin"/>
      </w:r>
      <w:r>
        <w:instrText xml:space="preserve"> HYPERLINK \l _Toc5951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6.1 </w:t>
      </w:r>
      <w:r>
        <w:rPr>
          <w:rFonts w:hint="eastAsia" w:hAnsi="Times New Roman" w:cs="Times New Roman"/>
          <w:szCs w:val="24"/>
          <w:highlight w:val="none"/>
          <w:lang w:val="en-US" w:eastAsia="zh-CN"/>
        </w:rPr>
        <w:t>检验分类</w:t>
      </w:r>
      <w:r>
        <w:tab/>
      </w:r>
      <w:r>
        <w:fldChar w:fldCharType="begin"/>
      </w:r>
      <w:r>
        <w:instrText xml:space="preserve"> PAGEREF _Toc5951 \h </w:instrText>
      </w:r>
      <w:r>
        <w:fldChar w:fldCharType="separate"/>
      </w:r>
      <w:r>
        <w:t>4</w:t>
      </w:r>
      <w:r>
        <w:fldChar w:fldCharType="end"/>
      </w:r>
      <w:r>
        <w:fldChar w:fldCharType="end"/>
      </w:r>
    </w:p>
    <w:p w14:paraId="2370BAEC">
      <w:pPr>
        <w:pStyle w:val="25"/>
        <w:tabs>
          <w:tab w:val="right" w:leader="dot" w:pos="9355"/>
          <w:tab w:val="clear" w:pos="9344"/>
        </w:tabs>
      </w:pPr>
      <w:r>
        <w:fldChar w:fldCharType="begin"/>
      </w:r>
      <w:r>
        <w:instrText xml:space="preserve"> HYPERLINK \l _Toc22078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6.2 </w:t>
      </w:r>
      <w:r>
        <w:rPr>
          <w:rFonts w:hint="eastAsia" w:hAnsi="Times New Roman" w:cs="Times New Roman"/>
          <w:szCs w:val="24"/>
          <w:highlight w:val="none"/>
          <w:lang w:val="en-US" w:eastAsia="zh-CN"/>
        </w:rPr>
        <w:t>出厂检验</w:t>
      </w:r>
      <w:r>
        <w:tab/>
      </w:r>
      <w:r>
        <w:fldChar w:fldCharType="begin"/>
      </w:r>
      <w:r>
        <w:instrText xml:space="preserve"> PAGEREF _Toc22078 \h </w:instrText>
      </w:r>
      <w:r>
        <w:fldChar w:fldCharType="separate"/>
      </w:r>
      <w:r>
        <w:t>4</w:t>
      </w:r>
      <w:r>
        <w:fldChar w:fldCharType="end"/>
      </w:r>
      <w:r>
        <w:fldChar w:fldCharType="end"/>
      </w:r>
    </w:p>
    <w:p w14:paraId="5C28F8F7">
      <w:pPr>
        <w:pStyle w:val="25"/>
        <w:tabs>
          <w:tab w:val="right" w:leader="dot" w:pos="9355"/>
          <w:tab w:val="clear" w:pos="9344"/>
        </w:tabs>
      </w:pPr>
      <w:r>
        <w:fldChar w:fldCharType="begin"/>
      </w:r>
      <w:r>
        <w:instrText xml:space="preserve"> HYPERLINK \l _Toc32378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6.3 </w:t>
      </w:r>
      <w:r>
        <w:rPr>
          <w:rFonts w:hint="eastAsia" w:hAnsi="Times New Roman" w:cs="Times New Roman"/>
          <w:szCs w:val="24"/>
          <w:highlight w:val="none"/>
          <w:lang w:val="en-US" w:eastAsia="zh-CN"/>
        </w:rPr>
        <w:t>型式检验</w:t>
      </w:r>
      <w:r>
        <w:tab/>
      </w:r>
      <w:r>
        <w:fldChar w:fldCharType="begin"/>
      </w:r>
      <w:r>
        <w:instrText xml:space="preserve"> PAGEREF _Toc32378 \h </w:instrText>
      </w:r>
      <w:r>
        <w:fldChar w:fldCharType="separate"/>
      </w:r>
      <w:r>
        <w:t>4</w:t>
      </w:r>
      <w:r>
        <w:fldChar w:fldCharType="end"/>
      </w:r>
      <w:r>
        <w:fldChar w:fldCharType="end"/>
      </w:r>
    </w:p>
    <w:p w14:paraId="76881EF2">
      <w:pPr>
        <w:pStyle w:val="25"/>
        <w:tabs>
          <w:tab w:val="right" w:leader="dot" w:pos="9355"/>
          <w:tab w:val="clear" w:pos="9344"/>
        </w:tabs>
      </w:pPr>
      <w:r>
        <w:fldChar w:fldCharType="begin"/>
      </w:r>
      <w:r>
        <w:instrText xml:space="preserve"> HYPERLINK \l _Toc26571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6.4 </w:t>
      </w:r>
      <w:r>
        <w:rPr>
          <w:rFonts w:hint="eastAsia" w:hAnsi="Times New Roman" w:cs="Times New Roman"/>
          <w:szCs w:val="24"/>
          <w:highlight w:val="none"/>
          <w:lang w:val="en-US" w:eastAsia="zh-CN"/>
        </w:rPr>
        <w:t>组批与取样</w:t>
      </w:r>
      <w:r>
        <w:tab/>
      </w:r>
      <w:r>
        <w:fldChar w:fldCharType="begin"/>
      </w:r>
      <w:r>
        <w:instrText xml:space="preserve"> PAGEREF _Toc26571 \h </w:instrText>
      </w:r>
      <w:r>
        <w:fldChar w:fldCharType="separate"/>
      </w:r>
      <w:r>
        <w:t>4</w:t>
      </w:r>
      <w:r>
        <w:fldChar w:fldCharType="end"/>
      </w:r>
      <w:r>
        <w:fldChar w:fldCharType="end"/>
      </w:r>
    </w:p>
    <w:p w14:paraId="4520AE79">
      <w:pPr>
        <w:pStyle w:val="25"/>
        <w:tabs>
          <w:tab w:val="right" w:leader="dot" w:pos="9355"/>
          <w:tab w:val="clear" w:pos="9344"/>
        </w:tabs>
      </w:pPr>
      <w:r>
        <w:fldChar w:fldCharType="begin"/>
      </w:r>
      <w:r>
        <w:instrText xml:space="preserve"> HYPERLINK \l _Toc4279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6.5 </w:t>
      </w:r>
      <w:r>
        <w:rPr>
          <w:rFonts w:hint="eastAsia" w:hAnsi="Times New Roman" w:cs="Times New Roman"/>
          <w:szCs w:val="24"/>
          <w:highlight w:val="none"/>
          <w:lang w:val="en-US" w:eastAsia="zh-CN"/>
        </w:rPr>
        <w:t>判定</w:t>
      </w:r>
      <w:r>
        <w:tab/>
      </w:r>
      <w:r>
        <w:fldChar w:fldCharType="begin"/>
      </w:r>
      <w:r>
        <w:instrText xml:space="preserve"> PAGEREF _Toc4279 \h </w:instrText>
      </w:r>
      <w:r>
        <w:fldChar w:fldCharType="separate"/>
      </w:r>
      <w:r>
        <w:t>4</w:t>
      </w:r>
      <w:r>
        <w:fldChar w:fldCharType="end"/>
      </w:r>
      <w:r>
        <w:fldChar w:fldCharType="end"/>
      </w:r>
    </w:p>
    <w:p w14:paraId="76FD1603">
      <w:pPr>
        <w:pStyle w:val="20"/>
        <w:tabs>
          <w:tab w:val="right" w:leader="dot" w:pos="9355"/>
        </w:tabs>
      </w:pPr>
      <w:r>
        <w:fldChar w:fldCharType="begin"/>
      </w:r>
      <w:r>
        <w:instrText xml:space="preserve"> HYPERLINK \l _Toc1673 </w:instrText>
      </w:r>
      <w:r>
        <w:fldChar w:fldCharType="separate"/>
      </w:r>
      <w:r>
        <w:rPr>
          <w:rFonts w:hint="eastAsia" w:ascii="黑体" w:eastAsia="黑体"/>
          <w:i w:val="0"/>
          <w:lang w:val="en-US" w:eastAsia="zh-CN"/>
        </w:rPr>
        <w:t xml:space="preserve">7 </w:t>
      </w:r>
      <w:r>
        <w:rPr>
          <w:rFonts w:hint="eastAsia"/>
          <w:highlight w:val="none"/>
          <w:lang w:val="en-US" w:eastAsia="zh-CN"/>
        </w:rPr>
        <w:t>安全应用规范</w:t>
      </w:r>
      <w:r>
        <w:tab/>
      </w:r>
      <w:r>
        <w:fldChar w:fldCharType="begin"/>
      </w:r>
      <w:r>
        <w:instrText xml:space="preserve"> PAGEREF _Toc1673 \h </w:instrText>
      </w:r>
      <w:r>
        <w:fldChar w:fldCharType="separate"/>
      </w:r>
      <w:r>
        <w:t>4</w:t>
      </w:r>
      <w:r>
        <w:fldChar w:fldCharType="end"/>
      </w:r>
      <w:r>
        <w:fldChar w:fldCharType="end"/>
      </w:r>
    </w:p>
    <w:p w14:paraId="14591E19">
      <w:pPr>
        <w:pStyle w:val="25"/>
        <w:tabs>
          <w:tab w:val="right" w:leader="dot" w:pos="9355"/>
          <w:tab w:val="clear" w:pos="9344"/>
        </w:tabs>
      </w:pPr>
      <w:r>
        <w:fldChar w:fldCharType="begin"/>
      </w:r>
      <w:r>
        <w:instrText xml:space="preserve"> HYPERLINK \l _Toc13762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7.1 </w:t>
      </w:r>
      <w:r>
        <w:rPr>
          <w:rFonts w:hint="eastAsia"/>
          <w:szCs w:val="24"/>
          <w:highlight w:val="none"/>
          <w:lang w:val="en-US" w:eastAsia="zh-CN"/>
        </w:rPr>
        <w:t>一般规定</w:t>
      </w:r>
      <w:r>
        <w:tab/>
      </w:r>
      <w:r>
        <w:fldChar w:fldCharType="begin"/>
      </w:r>
      <w:r>
        <w:instrText xml:space="preserve"> PAGEREF _Toc13762 \h </w:instrText>
      </w:r>
      <w:r>
        <w:fldChar w:fldCharType="separate"/>
      </w:r>
      <w:r>
        <w:t>4</w:t>
      </w:r>
      <w:r>
        <w:fldChar w:fldCharType="end"/>
      </w:r>
      <w:r>
        <w:fldChar w:fldCharType="end"/>
      </w:r>
    </w:p>
    <w:p w14:paraId="0436C686">
      <w:pPr>
        <w:pStyle w:val="25"/>
        <w:tabs>
          <w:tab w:val="right" w:leader="dot" w:pos="9355"/>
          <w:tab w:val="clear" w:pos="9344"/>
        </w:tabs>
      </w:pPr>
      <w:r>
        <w:fldChar w:fldCharType="begin"/>
      </w:r>
      <w:r>
        <w:instrText xml:space="preserve"> HYPERLINK \l _Toc3770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7.2 </w:t>
      </w:r>
      <w:r>
        <w:rPr>
          <w:rFonts w:hint="eastAsia" w:hAnsi="Times New Roman" w:cs="Times New Roman"/>
          <w:szCs w:val="24"/>
          <w:highlight w:val="none"/>
          <w:lang w:val="en-US" w:eastAsia="zh-CN"/>
        </w:rPr>
        <w:t>安全要求</w:t>
      </w:r>
      <w:r>
        <w:tab/>
      </w:r>
      <w:r>
        <w:fldChar w:fldCharType="begin"/>
      </w:r>
      <w:r>
        <w:instrText xml:space="preserve"> PAGEREF _Toc3770 \h </w:instrText>
      </w:r>
      <w:r>
        <w:fldChar w:fldCharType="separate"/>
      </w:r>
      <w:r>
        <w:t>5</w:t>
      </w:r>
      <w:r>
        <w:fldChar w:fldCharType="end"/>
      </w:r>
      <w:r>
        <w:fldChar w:fldCharType="end"/>
      </w:r>
    </w:p>
    <w:p w14:paraId="2BE33C1A">
      <w:pPr>
        <w:pStyle w:val="20"/>
        <w:tabs>
          <w:tab w:val="right" w:leader="dot" w:pos="9355"/>
        </w:tabs>
      </w:pPr>
      <w:r>
        <w:fldChar w:fldCharType="begin"/>
      </w:r>
      <w:r>
        <w:instrText xml:space="preserve"> HYPERLINK \l _Toc17876 </w:instrText>
      </w:r>
      <w:r>
        <w:fldChar w:fldCharType="separate"/>
      </w:r>
      <w:r>
        <w:rPr>
          <w:rFonts w:hint="eastAsia" w:ascii="黑体" w:eastAsia="黑体"/>
          <w:i w:val="0"/>
          <w:szCs w:val="24"/>
          <w:lang w:val="en-US" w:eastAsia="zh-CN"/>
        </w:rPr>
        <w:t xml:space="preserve">8 </w:t>
      </w:r>
      <w:r>
        <w:rPr>
          <w:rFonts w:hint="eastAsia"/>
          <w:szCs w:val="24"/>
          <w:highlight w:val="none"/>
          <w:lang w:val="en-US" w:eastAsia="zh-CN"/>
        </w:rPr>
        <w:t>标志、包装、运输和贮存</w:t>
      </w:r>
      <w:r>
        <w:tab/>
      </w:r>
      <w:r>
        <w:fldChar w:fldCharType="begin"/>
      </w:r>
      <w:r>
        <w:instrText xml:space="preserve"> PAGEREF _Toc17876 \h </w:instrText>
      </w:r>
      <w:r>
        <w:fldChar w:fldCharType="separate"/>
      </w:r>
      <w:r>
        <w:t>5</w:t>
      </w:r>
      <w:r>
        <w:fldChar w:fldCharType="end"/>
      </w:r>
      <w:r>
        <w:fldChar w:fldCharType="end"/>
      </w:r>
    </w:p>
    <w:p w14:paraId="6039B77C">
      <w:pPr>
        <w:pStyle w:val="25"/>
        <w:tabs>
          <w:tab w:val="right" w:leader="dot" w:pos="9355"/>
          <w:tab w:val="clear" w:pos="9344"/>
        </w:tabs>
      </w:pPr>
      <w:r>
        <w:fldChar w:fldCharType="begin"/>
      </w:r>
      <w:r>
        <w:instrText xml:space="preserve"> HYPERLINK \l _Toc14514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8.1 </w:t>
      </w:r>
      <w:r>
        <w:rPr>
          <w:rFonts w:hint="eastAsia"/>
          <w:szCs w:val="24"/>
          <w:highlight w:val="none"/>
          <w:lang w:val="en-US" w:eastAsia="zh-CN"/>
        </w:rPr>
        <w:t>标志</w:t>
      </w:r>
      <w:r>
        <w:tab/>
      </w:r>
      <w:r>
        <w:fldChar w:fldCharType="begin"/>
      </w:r>
      <w:r>
        <w:instrText xml:space="preserve"> PAGEREF _Toc14514 \h </w:instrText>
      </w:r>
      <w:r>
        <w:fldChar w:fldCharType="separate"/>
      </w:r>
      <w:r>
        <w:t>5</w:t>
      </w:r>
      <w:r>
        <w:fldChar w:fldCharType="end"/>
      </w:r>
      <w:r>
        <w:fldChar w:fldCharType="end"/>
      </w:r>
    </w:p>
    <w:p w14:paraId="6398D383">
      <w:pPr>
        <w:pStyle w:val="25"/>
        <w:tabs>
          <w:tab w:val="right" w:leader="dot" w:pos="9355"/>
          <w:tab w:val="clear" w:pos="9344"/>
        </w:tabs>
      </w:pPr>
      <w:r>
        <w:fldChar w:fldCharType="begin"/>
      </w:r>
      <w:r>
        <w:instrText xml:space="preserve"> HYPERLINK \l _Toc15623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8.2 </w:t>
      </w:r>
      <w:r>
        <w:rPr>
          <w:rFonts w:hint="eastAsia"/>
          <w:szCs w:val="24"/>
          <w:highlight w:val="none"/>
          <w:lang w:val="en-US" w:eastAsia="zh-CN"/>
        </w:rPr>
        <w:t>包装</w:t>
      </w:r>
      <w:r>
        <w:tab/>
      </w:r>
      <w:r>
        <w:fldChar w:fldCharType="begin"/>
      </w:r>
      <w:r>
        <w:instrText xml:space="preserve"> PAGEREF _Toc15623 \h </w:instrText>
      </w:r>
      <w:r>
        <w:fldChar w:fldCharType="separate"/>
      </w:r>
      <w:r>
        <w:t>5</w:t>
      </w:r>
      <w:r>
        <w:fldChar w:fldCharType="end"/>
      </w:r>
      <w:r>
        <w:fldChar w:fldCharType="end"/>
      </w:r>
    </w:p>
    <w:p w14:paraId="37792172">
      <w:pPr>
        <w:pStyle w:val="25"/>
        <w:tabs>
          <w:tab w:val="right" w:leader="dot" w:pos="9355"/>
          <w:tab w:val="clear" w:pos="9344"/>
        </w:tabs>
      </w:pPr>
      <w:r>
        <w:fldChar w:fldCharType="begin"/>
      </w:r>
      <w:r>
        <w:instrText xml:space="preserve"> HYPERLINK \l _Toc26855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8.3 </w:t>
      </w:r>
      <w:r>
        <w:rPr>
          <w:rFonts w:hint="eastAsia"/>
          <w:szCs w:val="24"/>
          <w:highlight w:val="none"/>
          <w:lang w:val="en-US" w:eastAsia="zh-CN"/>
        </w:rPr>
        <w:t>运输</w:t>
      </w:r>
      <w:r>
        <w:tab/>
      </w:r>
      <w:r>
        <w:fldChar w:fldCharType="begin"/>
      </w:r>
      <w:r>
        <w:instrText xml:space="preserve"> PAGEREF _Toc26855 \h </w:instrText>
      </w:r>
      <w:r>
        <w:fldChar w:fldCharType="separate"/>
      </w:r>
      <w:r>
        <w:t>5</w:t>
      </w:r>
      <w:r>
        <w:fldChar w:fldCharType="end"/>
      </w:r>
      <w:r>
        <w:fldChar w:fldCharType="end"/>
      </w:r>
    </w:p>
    <w:p w14:paraId="4D704A0D">
      <w:pPr>
        <w:pStyle w:val="25"/>
        <w:tabs>
          <w:tab w:val="right" w:leader="dot" w:pos="9355"/>
          <w:tab w:val="clear" w:pos="9344"/>
        </w:tabs>
      </w:pPr>
      <w:r>
        <w:fldChar w:fldCharType="begin"/>
      </w:r>
      <w:r>
        <w:instrText xml:space="preserve"> HYPERLINK \l _Toc2970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rPr>
        <w:t xml:space="preserve">8.4 </w:t>
      </w:r>
      <w:r>
        <w:rPr>
          <w:rFonts w:hint="eastAsia"/>
          <w:szCs w:val="24"/>
          <w:highlight w:val="none"/>
          <w:lang w:val="en-US" w:eastAsia="zh-CN"/>
        </w:rPr>
        <w:t>贮存</w:t>
      </w:r>
      <w:r>
        <w:tab/>
      </w:r>
      <w:r>
        <w:fldChar w:fldCharType="begin"/>
      </w:r>
      <w:r>
        <w:instrText xml:space="preserve"> PAGEREF _Toc2970 \h </w:instrText>
      </w:r>
      <w:r>
        <w:fldChar w:fldCharType="separate"/>
      </w:r>
      <w:r>
        <w:t>5</w:t>
      </w:r>
      <w:r>
        <w:fldChar w:fldCharType="end"/>
      </w:r>
      <w:r>
        <w:fldChar w:fldCharType="end"/>
      </w:r>
    </w:p>
    <w:p w14:paraId="3B6664DE">
      <w:pPr>
        <w:pStyle w:val="95"/>
        <w:spacing w:after="360"/>
        <w:sectPr>
          <w:headerReference r:id="rId9" w:type="default"/>
          <w:footerReference r:id="rId11" w:type="default"/>
          <w:headerReference r:id="rId10" w:type="even"/>
          <w:footerReference r:id="rId12" w:type="even"/>
          <w:pgSz w:w="11906" w:h="16838"/>
          <w:pgMar w:top="1928" w:right="1134" w:bottom="1134" w:left="1134" w:header="1418" w:footer="1134" w:gutter="283"/>
          <w:pgBorders>
            <w:top w:val="none" w:sz="0" w:space="0"/>
            <w:left w:val="none" w:sz="0" w:space="0"/>
            <w:bottom w:val="none" w:sz="0" w:space="0"/>
            <w:right w:val="none" w:sz="0" w:space="0"/>
          </w:pgBorders>
          <w:pgNumType w:fmt="upperRoman" w:start="1"/>
          <w:cols w:space="0" w:num="1"/>
          <w:formProt w:val="0"/>
          <w:docGrid w:linePitch="312" w:charSpace="0"/>
        </w:sectPr>
      </w:pPr>
      <w:r>
        <w:fldChar w:fldCharType="end"/>
      </w:r>
    </w:p>
    <w:bookmarkEnd w:id="18"/>
    <w:bookmarkEnd w:id="19"/>
    <w:bookmarkEnd w:id="20"/>
    <w:bookmarkEnd w:id="21"/>
    <w:p w14:paraId="30B9FE6D">
      <w:pPr>
        <w:pStyle w:val="93"/>
        <w:spacing w:before="850" w:after="680" w:afterLines="0"/>
      </w:pPr>
      <w:bookmarkStart w:id="22" w:name="_Toc188371204"/>
      <w:bookmarkStart w:id="23" w:name="_Toc12543"/>
      <w:bookmarkStart w:id="24" w:name="_Toc11303"/>
      <w:bookmarkStart w:id="25" w:name="_Toc6844"/>
      <w:bookmarkStart w:id="26" w:name="_Toc6768"/>
      <w:bookmarkStart w:id="27" w:name="BookMark2"/>
      <w:r>
        <w:rPr>
          <w:rFonts w:hint="eastAsia"/>
          <w:spacing w:val="320"/>
        </w:rPr>
        <w:t>前</w:t>
      </w:r>
      <w:r>
        <w:rPr>
          <w:rFonts w:hint="eastAsia"/>
        </w:rPr>
        <w:t>言</w:t>
      </w:r>
      <w:bookmarkEnd w:id="22"/>
      <w:bookmarkEnd w:id="23"/>
      <w:bookmarkEnd w:id="24"/>
      <w:bookmarkEnd w:id="25"/>
      <w:bookmarkEnd w:id="26"/>
    </w:p>
    <w:p w14:paraId="27A17A31">
      <w:pPr>
        <w:pStyle w:val="60"/>
        <w:ind w:firstLine="420"/>
      </w:pPr>
      <w:r>
        <w:rPr>
          <w:rFonts w:hint="eastAsia"/>
        </w:rPr>
        <w:t>本文件按照GB/T 1.1—2020《标准化工作导则  第1部分：标准化文件的结构和起草规则》的规定起草。</w:t>
      </w:r>
    </w:p>
    <w:p w14:paraId="449C9FE1">
      <w:pPr>
        <w:pStyle w:val="60"/>
        <w:ind w:firstLine="420"/>
        <w:rPr>
          <w:rFonts w:hint="eastAsia"/>
        </w:rPr>
      </w:pPr>
      <w:r>
        <w:rPr>
          <w:rFonts w:hint="eastAsia"/>
        </w:rPr>
        <w:t>请注意本文件的某些内容可能涉及专利。本文件的发布机构不承担识别专利的责任。</w:t>
      </w:r>
    </w:p>
    <w:p w14:paraId="3994E22B">
      <w:pPr>
        <w:pStyle w:val="60"/>
        <w:ind w:firstLine="420"/>
      </w:pPr>
      <w:r>
        <w:rPr>
          <w:rFonts w:hint="eastAsia"/>
        </w:rPr>
        <w:t>本文件由中国欧洲经济技术合作协会提出并归口。</w:t>
      </w:r>
    </w:p>
    <w:p w14:paraId="13C362EE">
      <w:pPr>
        <w:pStyle w:val="60"/>
        <w:ind w:firstLine="420"/>
        <w:rPr>
          <w:rFonts w:ascii="Calibri" w:hAnsi="Calibri"/>
          <w:kern w:val="2"/>
          <w:szCs w:val="21"/>
        </w:rPr>
      </w:pPr>
      <w:r>
        <w:rPr>
          <w:rFonts w:hint="eastAsia"/>
        </w:rPr>
        <w:t>本文件起草单位：。</w:t>
      </w:r>
    </w:p>
    <w:p w14:paraId="49B6FF94">
      <w:pPr>
        <w:pStyle w:val="60"/>
        <w:ind w:firstLine="420"/>
      </w:pPr>
      <w:r>
        <w:rPr>
          <w:rFonts w:hint="eastAsia"/>
        </w:rPr>
        <w:t>本文件主要起草人：。</w:t>
      </w:r>
    </w:p>
    <w:p w14:paraId="68049791">
      <w:pPr>
        <w:pStyle w:val="60"/>
        <w:ind w:firstLine="420"/>
        <w:sectPr>
          <w:footerReference r:id="rId14" w:type="default"/>
          <w:headerReference r:id="rId13" w:type="even"/>
          <w:footerReference r:id="rId15" w:type="even"/>
          <w:pgSz w:w="11906" w:h="16838"/>
          <w:pgMar w:top="1928" w:right="1134" w:bottom="1134" w:left="1134" w:header="1418" w:footer="1134" w:gutter="283"/>
          <w:pgBorders>
            <w:top w:val="none" w:sz="0" w:space="0"/>
            <w:left w:val="none" w:sz="0" w:space="0"/>
            <w:bottom w:val="none" w:sz="0" w:space="0"/>
            <w:right w:val="none" w:sz="0" w:space="0"/>
          </w:pgBorders>
          <w:pgNumType w:fmt="upperRoman"/>
          <w:cols w:space="0" w:num="1"/>
          <w:formProt w:val="0"/>
          <w:docGrid w:linePitch="312" w:charSpace="0"/>
        </w:sectPr>
      </w:pPr>
    </w:p>
    <w:bookmarkEnd w:id="27"/>
    <w:p w14:paraId="67A79928">
      <w:pPr>
        <w:spacing w:line="20" w:lineRule="exact"/>
        <w:rPr>
          <w:rFonts w:hint="eastAsia" w:ascii="黑体" w:hAnsi="黑体" w:eastAsia="黑体"/>
          <w:sz w:val="32"/>
          <w:szCs w:val="32"/>
        </w:rPr>
      </w:pPr>
      <w:bookmarkStart w:id="28" w:name="BookMark4"/>
    </w:p>
    <w:p w14:paraId="23AB87F9">
      <w:pPr>
        <w:spacing w:line="20" w:lineRule="exact"/>
        <w:rPr>
          <w:rFonts w:hint="eastAsia"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068C1947">
          <w:pPr>
            <w:pStyle w:val="181"/>
            <w:spacing w:before="850" w:after="680" w:line="240" w:lineRule="auto"/>
            <w:rPr>
              <w:rFonts w:hint="eastAsia"/>
            </w:rPr>
          </w:pPr>
          <w:bookmarkStart w:id="29" w:name="NEW_STAND_NAME"/>
          <w:r>
            <w:rPr>
              <w:rFonts w:hint="eastAsia"/>
            </w:rPr>
            <w:t>回收碘产品质量分级、检测方法及安全应用规范</w:t>
          </w:r>
        </w:p>
      </w:sdtContent>
    </w:sdt>
    <w:bookmarkEnd w:id="29"/>
    <w:p w14:paraId="47B266A6">
      <w:pPr>
        <w:pStyle w:val="108"/>
        <w:spacing w:before="240" w:after="240"/>
      </w:pPr>
      <w:bookmarkStart w:id="30" w:name="_Toc26718930"/>
      <w:bookmarkStart w:id="31" w:name="_Toc17233325"/>
      <w:bookmarkStart w:id="32" w:name="_Toc148612845"/>
      <w:bookmarkStart w:id="33" w:name="_Toc24884211"/>
      <w:bookmarkStart w:id="34" w:name="_Toc150158740"/>
      <w:bookmarkStart w:id="35" w:name="_Toc24884218"/>
      <w:bookmarkStart w:id="36" w:name="_Toc17233333"/>
      <w:bookmarkStart w:id="37" w:name="_Toc26648465"/>
      <w:bookmarkStart w:id="38" w:name="_Toc150158767"/>
      <w:bookmarkStart w:id="39" w:name="_Toc26986530"/>
      <w:bookmarkStart w:id="40" w:name="_Toc95723355"/>
      <w:bookmarkStart w:id="41" w:name="_Toc26986771"/>
      <w:bookmarkStart w:id="42" w:name="_Toc95920575"/>
      <w:bookmarkStart w:id="43" w:name="_Toc95920558"/>
      <w:bookmarkStart w:id="44" w:name="_Toc22435"/>
      <w:r>
        <w:rPr>
          <w:rFonts w:hint="eastAsia"/>
        </w:rPr>
        <w:t>范围</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24B3070D">
      <w:pPr>
        <w:pStyle w:val="60"/>
        <w:ind w:firstLine="420"/>
        <w:rPr>
          <w:rFonts w:hint="eastAsia"/>
          <w:szCs w:val="24"/>
          <w:lang w:val="en-US" w:eastAsia="zh-CN"/>
        </w:rPr>
      </w:pPr>
      <w:bookmarkStart w:id="45" w:name="_Toc95920559"/>
      <w:bookmarkStart w:id="46" w:name="_Toc26986531"/>
      <w:bookmarkStart w:id="47" w:name="_Toc26986772"/>
      <w:bookmarkStart w:id="48" w:name="_Toc17233334"/>
      <w:bookmarkStart w:id="49" w:name="_Toc150158768"/>
      <w:bookmarkStart w:id="50" w:name="_Toc95920576"/>
      <w:bookmarkStart w:id="51" w:name="_Toc26648466"/>
      <w:bookmarkStart w:id="52" w:name="_Toc148612846"/>
      <w:bookmarkStart w:id="53" w:name="_Toc95723356"/>
      <w:bookmarkStart w:id="54" w:name="_Toc150158741"/>
      <w:bookmarkStart w:id="55" w:name="_Toc17233326"/>
      <w:bookmarkStart w:id="56" w:name="_Toc24884219"/>
      <w:bookmarkStart w:id="57" w:name="_Toc26718931"/>
      <w:bookmarkStart w:id="58" w:name="_Toc24884212"/>
      <w:r>
        <w:rPr>
          <w:szCs w:val="24"/>
        </w:rPr>
        <w:t>本文件规定了</w:t>
      </w:r>
      <w:r>
        <w:rPr>
          <w:rFonts w:hint="eastAsia"/>
          <w:szCs w:val="24"/>
          <w:lang w:val="en-US" w:eastAsia="zh-CN"/>
        </w:rPr>
        <w:t>回收碘产品的质量分级、试验方法、检验规则、安全应用规范以及包装、标志、运输和贮存要求。</w:t>
      </w:r>
    </w:p>
    <w:p w14:paraId="2CB47A40">
      <w:pPr>
        <w:pStyle w:val="60"/>
        <w:ind w:firstLine="420"/>
        <w:rPr>
          <w:szCs w:val="24"/>
        </w:rPr>
      </w:pPr>
      <w:r>
        <w:rPr>
          <w:szCs w:val="24"/>
        </w:rPr>
        <w:t>本文件适用于</w:t>
      </w:r>
      <w:r>
        <w:rPr>
          <w:rFonts w:hint="eastAsia"/>
          <w:szCs w:val="24"/>
          <w:lang w:val="en-US" w:eastAsia="zh-CN"/>
        </w:rPr>
        <w:t>回收碘</w:t>
      </w:r>
      <w:r>
        <w:rPr>
          <w:szCs w:val="24"/>
        </w:rPr>
        <w:t>。</w:t>
      </w:r>
    </w:p>
    <w:p w14:paraId="22C2C1BE">
      <w:pPr>
        <w:pStyle w:val="108"/>
        <w:spacing w:before="240" w:after="240"/>
      </w:pPr>
      <w:bookmarkStart w:id="59" w:name="_Toc26724"/>
      <w:r>
        <w:rPr>
          <w:rFonts w:hint="eastAsia"/>
        </w:rPr>
        <w:t>规范性引用文件</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48F5D5B">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46CF85B">
      <w:pPr>
        <w:pStyle w:val="60"/>
        <w:rPr>
          <w:rFonts w:hint="eastAsia" w:hAnsi="宋体" w:cs="宋体"/>
          <w:szCs w:val="24"/>
        </w:rPr>
      </w:pPr>
      <w:bookmarkStart w:id="60" w:name="_Toc95723357"/>
      <w:r>
        <w:rPr>
          <w:rFonts w:hint="eastAsia" w:hAnsi="宋体" w:cs="宋体"/>
          <w:szCs w:val="24"/>
        </w:rPr>
        <w:t>GB/T 191</w:t>
      </w:r>
      <w:r>
        <w:rPr>
          <w:rFonts w:hint="eastAsia" w:hAnsi="宋体" w:cs="宋体"/>
          <w:szCs w:val="24"/>
          <w:lang w:val="en-US" w:eastAsia="zh-CN"/>
        </w:rPr>
        <w:t xml:space="preserve">  </w:t>
      </w:r>
      <w:r>
        <w:rPr>
          <w:rFonts w:hint="eastAsia" w:hAnsi="宋体" w:cs="宋体"/>
          <w:szCs w:val="24"/>
        </w:rPr>
        <w:t>包装储运图形符号标志</w:t>
      </w:r>
    </w:p>
    <w:p w14:paraId="0A3F4396">
      <w:pPr>
        <w:pStyle w:val="60"/>
        <w:rPr>
          <w:rFonts w:hint="eastAsia" w:hAnsi="宋体" w:cs="宋体"/>
          <w:szCs w:val="24"/>
        </w:rPr>
      </w:pPr>
      <w:r>
        <w:rPr>
          <w:rFonts w:hint="eastAsia" w:hAnsi="宋体" w:cs="宋体"/>
          <w:szCs w:val="24"/>
        </w:rPr>
        <w:t>GB/T 602</w:t>
      </w:r>
      <w:r>
        <w:rPr>
          <w:rFonts w:hint="eastAsia" w:hAnsi="宋体" w:cs="宋体"/>
          <w:szCs w:val="24"/>
          <w:lang w:val="en-US" w:eastAsia="zh-CN"/>
        </w:rPr>
        <w:t xml:space="preserve">  </w:t>
      </w:r>
      <w:r>
        <w:rPr>
          <w:rFonts w:hint="eastAsia" w:hAnsi="宋体" w:cs="宋体"/>
          <w:szCs w:val="24"/>
        </w:rPr>
        <w:t xml:space="preserve">化学试剂 </w:t>
      </w:r>
      <w:r>
        <w:rPr>
          <w:rFonts w:hint="eastAsia" w:hAnsi="宋体" w:cs="宋体"/>
          <w:szCs w:val="24"/>
          <w:lang w:val="en-US" w:eastAsia="zh-CN"/>
        </w:rPr>
        <w:t xml:space="preserve"> </w:t>
      </w:r>
      <w:r>
        <w:rPr>
          <w:rFonts w:hint="eastAsia" w:hAnsi="宋体" w:cs="宋体"/>
          <w:szCs w:val="24"/>
        </w:rPr>
        <w:t>杂质测定用标准溶液的制备</w:t>
      </w:r>
    </w:p>
    <w:p w14:paraId="327A21F8">
      <w:pPr>
        <w:pStyle w:val="60"/>
        <w:rPr>
          <w:rFonts w:hint="eastAsia" w:hAnsi="宋体" w:cs="宋体"/>
          <w:szCs w:val="24"/>
        </w:rPr>
      </w:pPr>
      <w:r>
        <w:rPr>
          <w:rFonts w:hint="eastAsia" w:hAnsi="宋体" w:cs="宋体"/>
          <w:szCs w:val="24"/>
        </w:rPr>
        <w:t>GB/T 6678</w:t>
      </w:r>
      <w:r>
        <w:rPr>
          <w:rFonts w:hint="eastAsia" w:hAnsi="宋体" w:cs="宋体"/>
          <w:szCs w:val="24"/>
          <w:lang w:val="en-US" w:eastAsia="zh-CN"/>
        </w:rPr>
        <w:t xml:space="preserve">  </w:t>
      </w:r>
      <w:r>
        <w:rPr>
          <w:rFonts w:hint="eastAsia" w:hAnsi="宋体" w:cs="宋体"/>
          <w:szCs w:val="24"/>
        </w:rPr>
        <w:t>化工产品采样总则</w:t>
      </w:r>
    </w:p>
    <w:p w14:paraId="507C837E">
      <w:pPr>
        <w:pStyle w:val="60"/>
        <w:rPr>
          <w:rFonts w:hint="eastAsia" w:hAnsi="宋体" w:cs="宋体"/>
          <w:szCs w:val="24"/>
        </w:rPr>
      </w:pPr>
      <w:r>
        <w:rPr>
          <w:rFonts w:hint="eastAsia" w:hAnsi="宋体" w:cs="宋体"/>
          <w:szCs w:val="24"/>
        </w:rPr>
        <w:t>GB/T 6679</w:t>
      </w:r>
      <w:r>
        <w:rPr>
          <w:rFonts w:hint="eastAsia" w:hAnsi="宋体" w:cs="宋体"/>
          <w:szCs w:val="24"/>
          <w:lang w:val="en-US" w:eastAsia="zh-CN"/>
        </w:rPr>
        <w:t xml:space="preserve"> </w:t>
      </w:r>
      <w:r>
        <w:rPr>
          <w:rFonts w:hint="eastAsia" w:hAnsi="宋体" w:cs="宋体"/>
          <w:szCs w:val="24"/>
        </w:rPr>
        <w:t xml:space="preserve"> 固体化工产品采样通则</w:t>
      </w:r>
    </w:p>
    <w:p w14:paraId="083A5C8F">
      <w:pPr>
        <w:pStyle w:val="60"/>
        <w:rPr>
          <w:rFonts w:hint="eastAsia" w:hAnsi="宋体" w:cs="宋体"/>
          <w:szCs w:val="24"/>
        </w:rPr>
      </w:pPr>
      <w:r>
        <w:rPr>
          <w:rFonts w:hint="eastAsia" w:hAnsi="宋体" w:cs="宋体"/>
          <w:szCs w:val="24"/>
        </w:rPr>
        <w:t>GB/T 6682</w:t>
      </w:r>
      <w:r>
        <w:rPr>
          <w:rFonts w:hint="eastAsia" w:hAnsi="宋体" w:cs="宋体"/>
          <w:szCs w:val="24"/>
          <w:lang w:eastAsia="zh-CN"/>
        </w:rPr>
        <w:t>—</w:t>
      </w:r>
      <w:r>
        <w:rPr>
          <w:rFonts w:hint="eastAsia" w:hAnsi="宋体" w:cs="宋体"/>
          <w:szCs w:val="24"/>
        </w:rPr>
        <w:t>2008</w:t>
      </w:r>
      <w:r>
        <w:rPr>
          <w:rFonts w:hint="eastAsia" w:hAnsi="宋体" w:cs="宋体"/>
          <w:szCs w:val="24"/>
          <w:lang w:val="en-US" w:eastAsia="zh-CN"/>
        </w:rPr>
        <w:t xml:space="preserve"> </w:t>
      </w:r>
      <w:r>
        <w:rPr>
          <w:rFonts w:hint="eastAsia" w:hAnsi="宋体" w:cs="宋体"/>
          <w:szCs w:val="24"/>
        </w:rPr>
        <w:t xml:space="preserve"> 分析实验室用水规格和试验方法</w:t>
      </w:r>
    </w:p>
    <w:p w14:paraId="363683E7">
      <w:pPr>
        <w:pStyle w:val="60"/>
        <w:rPr>
          <w:rFonts w:hint="default" w:hAnsi="宋体" w:cs="宋体"/>
          <w:szCs w:val="24"/>
        </w:rPr>
      </w:pPr>
      <w:r>
        <w:rPr>
          <w:rFonts w:hint="eastAsia" w:hAnsi="宋体" w:cs="宋体"/>
          <w:szCs w:val="24"/>
        </w:rPr>
        <w:t>GB</w:t>
      </w:r>
      <w:r>
        <w:rPr>
          <w:rFonts w:hint="eastAsia" w:hAnsi="宋体" w:cs="宋体"/>
          <w:szCs w:val="24"/>
          <w:lang w:val="en-US" w:eastAsia="zh-CN"/>
        </w:rPr>
        <w:t xml:space="preserve"> </w:t>
      </w:r>
      <w:r>
        <w:rPr>
          <w:rFonts w:hint="default" w:hAnsi="宋体" w:cs="宋体"/>
          <w:szCs w:val="24"/>
        </w:rPr>
        <w:t>15258</w:t>
      </w:r>
      <w:r>
        <w:rPr>
          <w:rFonts w:hint="eastAsia" w:hAnsi="宋体" w:cs="宋体"/>
          <w:szCs w:val="24"/>
          <w:lang w:val="en-US" w:eastAsia="zh-CN"/>
        </w:rPr>
        <w:t xml:space="preserve"> </w:t>
      </w:r>
      <w:r>
        <w:rPr>
          <w:rFonts w:hint="default" w:hAnsi="宋体" w:cs="宋体"/>
          <w:szCs w:val="24"/>
        </w:rPr>
        <w:t xml:space="preserve"> 化学品安全标签编写规定</w:t>
      </w:r>
    </w:p>
    <w:p w14:paraId="638EA64D">
      <w:pPr>
        <w:pStyle w:val="60"/>
        <w:rPr>
          <w:rFonts w:hint="eastAsia" w:hAnsi="宋体" w:cs="宋体"/>
          <w:szCs w:val="24"/>
        </w:rPr>
      </w:pPr>
      <w:r>
        <w:rPr>
          <w:rFonts w:hint="eastAsia" w:hAnsi="宋体" w:cs="宋体"/>
          <w:szCs w:val="24"/>
        </w:rPr>
        <w:t>HG/T</w:t>
      </w:r>
      <w:r>
        <w:rPr>
          <w:rFonts w:hint="eastAsia" w:hAnsi="宋体" w:cs="宋体"/>
          <w:szCs w:val="24"/>
          <w:lang w:val="en-US" w:eastAsia="zh-CN"/>
        </w:rPr>
        <w:t xml:space="preserve"> </w:t>
      </w:r>
      <w:r>
        <w:rPr>
          <w:rFonts w:hint="eastAsia" w:hAnsi="宋体" w:cs="宋体"/>
          <w:szCs w:val="24"/>
        </w:rPr>
        <w:t>3696.2</w:t>
      </w:r>
      <w:r>
        <w:rPr>
          <w:rFonts w:hint="eastAsia" w:hAnsi="宋体" w:cs="宋体"/>
          <w:szCs w:val="24"/>
          <w:lang w:val="en-US" w:eastAsia="zh-CN"/>
        </w:rPr>
        <w:t xml:space="preserve">  </w:t>
      </w:r>
      <w:r>
        <w:rPr>
          <w:rFonts w:hint="eastAsia" w:hAnsi="宋体" w:cs="宋体"/>
          <w:szCs w:val="24"/>
        </w:rPr>
        <w:t xml:space="preserve">无机化工产品 </w:t>
      </w:r>
      <w:r>
        <w:rPr>
          <w:rFonts w:hint="eastAsia" w:hAnsi="宋体" w:cs="宋体"/>
          <w:szCs w:val="24"/>
          <w:lang w:val="en-US" w:eastAsia="zh-CN"/>
        </w:rPr>
        <w:t xml:space="preserve"> </w:t>
      </w:r>
      <w:r>
        <w:rPr>
          <w:rFonts w:hint="eastAsia" w:hAnsi="宋体" w:cs="宋体"/>
          <w:szCs w:val="24"/>
        </w:rPr>
        <w:t>化学分析用标准溶液、制剂及制品的制备</w:t>
      </w:r>
      <w:r>
        <w:rPr>
          <w:rFonts w:hint="eastAsia" w:hAnsi="宋体" w:cs="宋体"/>
          <w:szCs w:val="24"/>
          <w:lang w:val="en-US" w:eastAsia="zh-CN"/>
        </w:rPr>
        <w:t xml:space="preserve"> </w:t>
      </w:r>
      <w:r>
        <w:rPr>
          <w:rFonts w:hint="eastAsia" w:hAnsi="宋体" w:cs="宋体"/>
          <w:szCs w:val="24"/>
        </w:rPr>
        <w:t xml:space="preserve"> 第2部分：杂质标准溶液的制备</w:t>
      </w:r>
    </w:p>
    <w:p w14:paraId="793424A7">
      <w:pPr>
        <w:pStyle w:val="108"/>
        <w:spacing w:before="240" w:after="240"/>
        <w:jc w:val="left"/>
      </w:pPr>
      <w:bookmarkStart w:id="61" w:name="_Toc12997"/>
      <w:r>
        <w:rPr>
          <w:rFonts w:hint="eastAsia"/>
        </w:rPr>
        <w:t>术语和定义</w:t>
      </w:r>
      <w:bookmarkEnd w:id="61"/>
    </w:p>
    <w:bookmarkEnd w:id="60"/>
    <w:sdt>
      <w:sdtPr>
        <w:id w:val="147473782"/>
        <w:placeholder>
          <w:docPart w:val="{2fd3ac0d-6880-44e5-a5b8-3b35814c86b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06F2270">
          <w:pPr>
            <w:pStyle w:val="60"/>
            <w:ind w:firstLine="420"/>
          </w:pPr>
          <w:bookmarkStart w:id="62" w:name="_Toc26986532"/>
          <w:bookmarkEnd w:id="62"/>
          <w:bookmarkStart w:id="63" w:name="_Toc1849"/>
          <w:bookmarkEnd w:id="63"/>
          <w:r>
            <w:t>下列术语和定义适用于本文件。</w:t>
          </w:r>
        </w:p>
      </w:sdtContent>
    </w:sdt>
    <w:p w14:paraId="228901A0">
      <w:pPr>
        <w:pStyle w:val="227"/>
        <w:keepNext w:val="0"/>
        <w:keepLines w:val="0"/>
        <w:pageBreakBefore w:val="0"/>
        <w:widowControl/>
        <w:kinsoku/>
        <w:wordWrap/>
        <w:overflowPunct/>
        <w:topLinePunct w:val="0"/>
        <w:autoSpaceDE/>
        <w:autoSpaceDN/>
        <w:bidi w:val="0"/>
        <w:adjustRightInd/>
        <w:snapToGrid/>
        <w:spacing w:before="157" w:beforeLines="50" w:after="157" w:afterLines="50"/>
        <w:ind w:left="0" w:hanging="420" w:hangingChars="200"/>
        <w:textAlignment w:val="auto"/>
        <w:rPr>
          <w:rFonts w:ascii="Times New Roman" w:eastAsia="黑体"/>
        </w:rPr>
      </w:pPr>
    </w:p>
    <w:p w14:paraId="785CED12">
      <w:pPr>
        <w:pStyle w:val="60"/>
        <w:keepNext w:val="0"/>
        <w:keepLines w:val="0"/>
        <w:pageBreakBefore w:val="0"/>
        <w:widowControl/>
        <w:kinsoku/>
        <w:wordWrap/>
        <w:overflowPunct/>
        <w:topLinePunct w:val="0"/>
        <w:autoSpaceDE w:val="0"/>
        <w:autoSpaceDN w:val="0"/>
        <w:bidi w:val="0"/>
        <w:adjustRightInd/>
        <w:snapToGrid/>
        <w:textAlignment w:val="auto"/>
        <w:rPr>
          <w:rFonts w:hint="eastAsia" w:ascii="黑体" w:hAnsi="黑体" w:eastAsia="黑体" w:cs="黑体"/>
          <w:sz w:val="21"/>
          <w:szCs w:val="24"/>
        </w:rPr>
      </w:pPr>
      <w:r>
        <w:rPr>
          <w:rFonts w:hint="eastAsia" w:ascii="黑体" w:hAnsi="黑体" w:eastAsia="黑体" w:cs="黑体"/>
          <w:sz w:val="21"/>
          <w:szCs w:val="24"/>
          <w:lang w:val="en-US" w:eastAsia="zh-CN"/>
        </w:rPr>
        <w:t>回收碘</w:t>
      </w:r>
      <w:r>
        <w:rPr>
          <w:rFonts w:hint="eastAsia" w:ascii="黑体" w:hAnsi="黑体" w:eastAsia="黑体" w:cs="黑体"/>
          <w:sz w:val="21"/>
          <w:szCs w:val="24"/>
        </w:rPr>
        <w:t xml:space="preserve"> recovery of iodine</w:t>
      </w:r>
    </w:p>
    <w:p w14:paraId="7DBE4C79">
      <w:pPr>
        <w:pStyle w:val="60"/>
        <w:rPr>
          <w:rFonts w:hint="eastAsia" w:eastAsia="宋体"/>
          <w:highlight w:val="yellow"/>
          <w:lang w:eastAsia="zh-CN"/>
        </w:rPr>
      </w:pPr>
      <w:r>
        <w:rPr>
          <w:rFonts w:hint="default"/>
          <w:sz w:val="21"/>
          <w:szCs w:val="24"/>
        </w:rPr>
        <w:t>指从含碘废液、废料中通过物理、化学或物理化学方法提取获得的碘产品。这些含碘废料包括但不限于磷矿石加工过程中的含碘溶液、化学反应实验废液、油田水、医药化工生产中的含碘废弃物等。</w:t>
      </w:r>
    </w:p>
    <w:p w14:paraId="4B8E3EA0">
      <w:pPr>
        <w:pStyle w:val="108"/>
        <w:spacing w:before="240" w:after="240"/>
        <w:rPr>
          <w:rFonts w:hint="default"/>
          <w:szCs w:val="24"/>
          <w:highlight w:val="none"/>
          <w:lang w:val="en-US" w:eastAsia="zh-CN"/>
        </w:rPr>
      </w:pPr>
      <w:bookmarkStart w:id="64" w:name="_Toc7335"/>
      <w:bookmarkStart w:id="65" w:name="_Toc11279"/>
      <w:r>
        <w:rPr>
          <w:rFonts w:hint="eastAsia"/>
          <w:szCs w:val="24"/>
          <w:lang w:val="en-US" w:eastAsia="zh-CN"/>
        </w:rPr>
        <w:t>产品质</w:t>
      </w:r>
      <w:r>
        <w:rPr>
          <w:rFonts w:hint="eastAsia"/>
          <w:szCs w:val="24"/>
          <w:highlight w:val="none"/>
          <w:lang w:val="en-US" w:eastAsia="zh-CN"/>
        </w:rPr>
        <w:t>量分级</w:t>
      </w:r>
      <w:bookmarkEnd w:id="64"/>
    </w:p>
    <w:p w14:paraId="0A7C8BF4">
      <w:pPr>
        <w:pStyle w:val="109"/>
        <w:spacing w:before="120" w:after="120"/>
        <w:rPr>
          <w:rFonts w:hint="eastAsia"/>
          <w:szCs w:val="24"/>
          <w:highlight w:val="none"/>
          <w:lang w:val="en-US" w:eastAsia="zh-CN"/>
        </w:rPr>
      </w:pPr>
      <w:bookmarkStart w:id="66" w:name="_Toc1820"/>
      <w:r>
        <w:rPr>
          <w:rFonts w:hint="eastAsia"/>
          <w:szCs w:val="24"/>
          <w:highlight w:val="none"/>
          <w:lang w:val="en-US" w:eastAsia="zh-CN"/>
        </w:rPr>
        <w:t>外观要求</w:t>
      </w:r>
      <w:bookmarkEnd w:id="66"/>
    </w:p>
    <w:p w14:paraId="12AD8388">
      <w:pPr>
        <w:pStyle w:val="60"/>
        <w:rPr>
          <w:rFonts w:hint="eastAsia"/>
          <w:highlight w:val="none"/>
          <w:lang w:val="en-US" w:eastAsia="zh-CN"/>
        </w:rPr>
      </w:pPr>
      <w:r>
        <w:rPr>
          <w:rFonts w:hint="eastAsia"/>
          <w:highlight w:val="none"/>
          <w:lang w:val="en-US" w:eastAsia="zh-CN"/>
        </w:rPr>
        <w:t>回收碘产品应为具有金属光泽的紫黑色至灰黑色的片状、颗粒状、结晶状或块状固体。</w:t>
      </w:r>
    </w:p>
    <w:p w14:paraId="09A32CA9">
      <w:pPr>
        <w:pStyle w:val="109"/>
        <w:spacing w:before="120" w:after="120"/>
        <w:rPr>
          <w:rFonts w:hint="default"/>
          <w:szCs w:val="24"/>
          <w:highlight w:val="none"/>
          <w:lang w:val="en-US" w:eastAsia="zh-CN"/>
        </w:rPr>
      </w:pPr>
      <w:bookmarkStart w:id="67" w:name="_Toc1502"/>
      <w:r>
        <w:rPr>
          <w:rFonts w:hint="eastAsia"/>
          <w:szCs w:val="24"/>
          <w:highlight w:val="none"/>
          <w:lang w:val="en-US" w:eastAsia="zh-CN"/>
        </w:rPr>
        <w:t>质量分级</w:t>
      </w:r>
      <w:bookmarkEnd w:id="67"/>
    </w:p>
    <w:p w14:paraId="7F80DE2D">
      <w:pPr>
        <w:pStyle w:val="60"/>
        <w:rPr>
          <w:rFonts w:hint="default"/>
          <w:highlight w:val="none"/>
          <w:lang w:val="en-US" w:eastAsia="zh-CN"/>
        </w:rPr>
      </w:pPr>
      <w:r>
        <w:rPr>
          <w:rFonts w:hint="default"/>
          <w:highlight w:val="none"/>
          <w:lang w:val="en-US" w:eastAsia="zh-CN"/>
        </w:rPr>
        <w:t>回收碘产品按纯度分为三个等级：一级品、二级品和三级品。各等级产品的化学指标应符合表1的要求。</w:t>
      </w:r>
      <w:r>
        <w:rPr>
          <w:rFonts w:hint="eastAsia"/>
          <w:highlight w:val="none"/>
          <w:lang w:val="en-US" w:eastAsia="zh-CN"/>
        </w:rPr>
        <w:t>（无机碘）</w:t>
      </w:r>
    </w:p>
    <w:p w14:paraId="10B30959">
      <w:pPr>
        <w:pStyle w:val="116"/>
        <w:spacing w:before="120" w:after="120"/>
        <w:ind w:left="0"/>
        <w:rPr>
          <w:rFonts w:hint="default" w:ascii="Times New Roman"/>
          <w:highlight w:val="none"/>
          <w:lang w:val="en-US"/>
        </w:rPr>
      </w:pPr>
      <w:r>
        <w:rPr>
          <w:rFonts w:hint="eastAsia" w:ascii="Times New Roman"/>
          <w:highlight w:val="none"/>
          <w:lang w:val="en-US" w:eastAsia="zh-CN"/>
        </w:rPr>
        <w:t>回收碘产品质量分级指标</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47"/>
        <w:gridCol w:w="2268"/>
        <w:gridCol w:w="2268"/>
        <w:gridCol w:w="2268"/>
      </w:tblGrid>
      <w:tr w14:paraId="151D86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647" w:type="dxa"/>
            <w:vMerge w:val="restart"/>
            <w:tcBorders>
              <w:bottom w:val="single" w:color="auto" w:sz="8" w:space="0"/>
              <w:right w:val="single" w:color="auto" w:sz="8" w:space="0"/>
            </w:tcBorders>
            <w:vAlign w:val="center"/>
          </w:tcPr>
          <w:p w14:paraId="75604E6E">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项目</w:t>
            </w:r>
          </w:p>
        </w:tc>
        <w:tc>
          <w:tcPr>
            <w:tcW w:w="6804" w:type="dxa"/>
            <w:gridSpan w:val="3"/>
            <w:tcBorders>
              <w:left w:val="single" w:color="auto" w:sz="8" w:space="0"/>
              <w:bottom w:val="single" w:color="auto" w:sz="8" w:space="0"/>
            </w:tcBorders>
            <w:vAlign w:val="center"/>
          </w:tcPr>
          <w:p w14:paraId="2F800A89">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指标等级</w:t>
            </w:r>
          </w:p>
        </w:tc>
      </w:tr>
      <w:tr w14:paraId="5D99DB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47" w:type="dxa"/>
            <w:vMerge w:val="continue"/>
            <w:tcBorders>
              <w:top w:val="single" w:color="auto" w:sz="8" w:space="0"/>
              <w:bottom w:val="single" w:color="auto" w:sz="8" w:space="0"/>
              <w:right w:val="single" w:color="auto" w:sz="8" w:space="0"/>
            </w:tcBorders>
            <w:vAlign w:val="center"/>
          </w:tcPr>
          <w:p w14:paraId="31B652C8">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val="en-US" w:eastAsia="zh-CN"/>
              </w:rPr>
            </w:pPr>
          </w:p>
        </w:tc>
        <w:tc>
          <w:tcPr>
            <w:tcW w:w="2268" w:type="dxa"/>
            <w:tcBorders>
              <w:top w:val="single" w:color="auto" w:sz="8" w:space="0"/>
              <w:left w:val="single" w:color="auto" w:sz="8" w:space="0"/>
              <w:bottom w:val="single" w:color="auto" w:sz="8" w:space="0"/>
              <w:right w:val="single" w:color="auto" w:sz="8" w:space="0"/>
            </w:tcBorders>
            <w:vAlign w:val="center"/>
          </w:tcPr>
          <w:p w14:paraId="1DC71D98">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val="en-US" w:eastAsia="zh-CN"/>
              </w:rPr>
            </w:pPr>
            <w:r>
              <w:rPr>
                <w:rFonts w:hint="eastAsia"/>
                <w:sz w:val="18"/>
                <w:szCs w:val="18"/>
                <w:highlight w:val="none"/>
                <w:vertAlign w:val="baseline"/>
                <w:lang w:val="en-US" w:eastAsia="zh-CN"/>
              </w:rPr>
              <w:t>一级</w:t>
            </w:r>
          </w:p>
        </w:tc>
        <w:tc>
          <w:tcPr>
            <w:tcW w:w="2268" w:type="dxa"/>
            <w:tcBorders>
              <w:top w:val="single" w:color="auto" w:sz="8" w:space="0"/>
              <w:left w:val="single" w:color="auto" w:sz="8" w:space="0"/>
              <w:bottom w:val="single" w:color="auto" w:sz="8" w:space="0"/>
              <w:right w:val="single" w:color="auto" w:sz="8" w:space="0"/>
            </w:tcBorders>
            <w:vAlign w:val="center"/>
          </w:tcPr>
          <w:p w14:paraId="49DBCB28">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val="en-US" w:eastAsia="zh-CN"/>
              </w:rPr>
            </w:pPr>
            <w:r>
              <w:rPr>
                <w:rFonts w:hint="eastAsia"/>
                <w:sz w:val="18"/>
                <w:szCs w:val="18"/>
                <w:highlight w:val="none"/>
                <w:vertAlign w:val="baseline"/>
                <w:lang w:val="en-US" w:eastAsia="zh-CN"/>
              </w:rPr>
              <w:t>二级</w:t>
            </w:r>
          </w:p>
        </w:tc>
        <w:tc>
          <w:tcPr>
            <w:tcW w:w="2268" w:type="dxa"/>
            <w:tcBorders>
              <w:top w:val="single" w:color="auto" w:sz="8" w:space="0"/>
              <w:left w:val="single" w:color="auto" w:sz="8" w:space="0"/>
              <w:bottom w:val="single" w:color="auto" w:sz="8" w:space="0"/>
            </w:tcBorders>
            <w:vAlign w:val="center"/>
          </w:tcPr>
          <w:p w14:paraId="32548588">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eastAsia="zh-CN"/>
              </w:rPr>
            </w:pPr>
            <w:r>
              <w:rPr>
                <w:rFonts w:hint="eastAsia"/>
                <w:sz w:val="18"/>
                <w:szCs w:val="18"/>
                <w:highlight w:val="none"/>
                <w:vertAlign w:val="baseline"/>
                <w:lang w:val="en-US" w:eastAsia="zh-CN"/>
              </w:rPr>
              <w:t>三级</w:t>
            </w:r>
          </w:p>
        </w:tc>
      </w:tr>
      <w:tr w14:paraId="11DAF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647" w:type="dxa"/>
            <w:tcBorders>
              <w:top w:val="single" w:color="auto" w:sz="8" w:space="0"/>
            </w:tcBorders>
            <w:vAlign w:val="center"/>
          </w:tcPr>
          <w:p w14:paraId="293E92CF">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default"/>
                <w:sz w:val="18"/>
                <w:szCs w:val="18"/>
                <w:highlight w:val="none"/>
                <w:vertAlign w:val="baseline"/>
                <w:lang w:val="en-US"/>
              </w:rPr>
              <w:t>碘</w:t>
            </w:r>
            <w:r>
              <w:rPr>
                <w:rFonts w:hint="eastAsia"/>
                <w:sz w:val="18"/>
                <w:szCs w:val="18"/>
                <w:highlight w:val="none"/>
                <w:vertAlign w:val="baseline"/>
                <w:lang w:val="en-US" w:eastAsia="zh-CN"/>
              </w:rPr>
              <w:t>（</w:t>
            </w:r>
            <w:r>
              <w:rPr>
                <w:rFonts w:hint="default"/>
                <w:sz w:val="18"/>
                <w:szCs w:val="18"/>
                <w:highlight w:val="none"/>
                <w:vertAlign w:val="baseline"/>
                <w:lang w:val="en-US"/>
              </w:rPr>
              <w:t>I</w:t>
            </w:r>
            <w:r>
              <w:rPr>
                <w:rFonts w:hint="default"/>
                <w:sz w:val="18"/>
                <w:szCs w:val="18"/>
                <w:highlight w:val="none"/>
                <w:vertAlign w:val="subscript"/>
                <w:lang w:val="en-US"/>
              </w:rPr>
              <w:t>2</w:t>
            </w:r>
            <w:r>
              <w:rPr>
                <w:rFonts w:hint="eastAsia"/>
                <w:sz w:val="18"/>
                <w:szCs w:val="18"/>
                <w:highlight w:val="none"/>
                <w:vertAlign w:val="baseline"/>
                <w:lang w:val="en-US" w:eastAsia="zh-CN"/>
              </w:rPr>
              <w:t>）</w:t>
            </w:r>
            <w:r>
              <w:rPr>
                <w:rFonts w:hint="default"/>
                <w:sz w:val="18"/>
                <w:szCs w:val="18"/>
                <w:highlight w:val="none"/>
                <w:vertAlign w:val="baseline"/>
                <w:lang w:val="en-US"/>
              </w:rPr>
              <w:t>/%</w:t>
            </w:r>
            <w:r>
              <w:rPr>
                <w:rFonts w:hint="eastAsia"/>
                <w:sz w:val="18"/>
                <w:szCs w:val="18"/>
                <w:highlight w:val="none"/>
                <w:vertAlign w:val="baseline"/>
                <w:lang w:val="en-US" w:eastAsia="zh-CN"/>
              </w:rPr>
              <w:t xml:space="preserve"> ≥</w:t>
            </w:r>
          </w:p>
        </w:tc>
        <w:tc>
          <w:tcPr>
            <w:tcW w:w="2268" w:type="dxa"/>
            <w:tcBorders>
              <w:top w:val="single" w:color="auto" w:sz="8" w:space="0"/>
            </w:tcBorders>
            <w:vAlign w:val="center"/>
          </w:tcPr>
          <w:p w14:paraId="18188E7D">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99.0</w:t>
            </w:r>
          </w:p>
        </w:tc>
        <w:tc>
          <w:tcPr>
            <w:tcW w:w="2268" w:type="dxa"/>
            <w:tcBorders>
              <w:top w:val="single" w:color="auto" w:sz="8" w:space="0"/>
            </w:tcBorders>
            <w:vAlign w:val="center"/>
          </w:tcPr>
          <w:p w14:paraId="2439919D">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98.5</w:t>
            </w:r>
          </w:p>
        </w:tc>
        <w:tc>
          <w:tcPr>
            <w:tcW w:w="2268" w:type="dxa"/>
            <w:tcBorders>
              <w:top w:val="single" w:color="auto" w:sz="8" w:space="0"/>
            </w:tcBorders>
            <w:vAlign w:val="center"/>
          </w:tcPr>
          <w:p w14:paraId="6B73A42F">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eastAsia="zh-CN"/>
              </w:rPr>
            </w:pPr>
            <w:r>
              <w:rPr>
                <w:rFonts w:hint="eastAsia"/>
                <w:sz w:val="18"/>
                <w:szCs w:val="18"/>
                <w:highlight w:val="none"/>
                <w:vertAlign w:val="baseline"/>
                <w:lang w:val="en-US" w:eastAsia="zh-CN"/>
              </w:rPr>
              <w:t>80.0</w:t>
            </w:r>
          </w:p>
        </w:tc>
      </w:tr>
      <w:tr w14:paraId="76620F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647" w:type="dxa"/>
            <w:vAlign w:val="center"/>
          </w:tcPr>
          <w:p w14:paraId="358311DC">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rPr>
            </w:pPr>
            <w:r>
              <w:rPr>
                <w:rFonts w:hint="default"/>
                <w:sz w:val="18"/>
                <w:szCs w:val="18"/>
                <w:highlight w:val="none"/>
                <w:vertAlign w:val="baseline"/>
                <w:lang w:val="en-US"/>
              </w:rPr>
              <w:t>氯及溴</w:t>
            </w:r>
            <w:r>
              <w:rPr>
                <w:rFonts w:hint="eastAsia"/>
                <w:sz w:val="18"/>
                <w:szCs w:val="18"/>
                <w:highlight w:val="none"/>
                <w:vertAlign w:val="baseline"/>
                <w:lang w:val="en-US" w:eastAsia="zh-CN"/>
              </w:rPr>
              <w:t>（</w:t>
            </w:r>
            <w:r>
              <w:rPr>
                <w:rFonts w:hint="default"/>
                <w:sz w:val="18"/>
                <w:szCs w:val="18"/>
                <w:highlight w:val="none"/>
                <w:vertAlign w:val="baseline"/>
                <w:lang w:val="en-US"/>
              </w:rPr>
              <w:t>以CI</w:t>
            </w:r>
            <w:r>
              <w:rPr>
                <w:rFonts w:hint="eastAsia"/>
                <w:sz w:val="18"/>
                <w:szCs w:val="18"/>
                <w:highlight w:val="none"/>
                <w:vertAlign w:val="superscript"/>
                <w:lang w:val="en-US" w:eastAsia="zh-CN"/>
              </w:rPr>
              <w:t>-</w:t>
            </w:r>
            <w:r>
              <w:rPr>
                <w:rFonts w:hint="default"/>
                <w:sz w:val="18"/>
                <w:szCs w:val="18"/>
                <w:highlight w:val="none"/>
                <w:vertAlign w:val="baseline"/>
                <w:lang w:val="en-US"/>
              </w:rPr>
              <w:t>计</w:t>
            </w:r>
            <w:r>
              <w:rPr>
                <w:rFonts w:hint="eastAsia"/>
                <w:sz w:val="18"/>
                <w:szCs w:val="18"/>
                <w:highlight w:val="none"/>
                <w:vertAlign w:val="baseline"/>
                <w:lang w:val="en-US" w:eastAsia="zh-CN"/>
              </w:rPr>
              <w:t>）</w:t>
            </w:r>
            <w:r>
              <w:rPr>
                <w:rFonts w:hint="default"/>
                <w:sz w:val="18"/>
                <w:szCs w:val="18"/>
                <w:highlight w:val="none"/>
                <w:vertAlign w:val="baseline"/>
                <w:lang w:val="en-US"/>
              </w:rPr>
              <w:t>/%</w:t>
            </w:r>
            <w:r>
              <w:rPr>
                <w:rFonts w:hint="eastAsia"/>
                <w:sz w:val="18"/>
                <w:szCs w:val="18"/>
                <w:highlight w:val="none"/>
                <w:vertAlign w:val="baseline"/>
                <w:lang w:val="en-US" w:eastAsia="zh-CN"/>
              </w:rPr>
              <w:t xml:space="preserve"> ≤</w:t>
            </w:r>
          </w:p>
        </w:tc>
        <w:tc>
          <w:tcPr>
            <w:tcW w:w="2268" w:type="dxa"/>
            <w:vAlign w:val="center"/>
          </w:tcPr>
          <w:p w14:paraId="4ABC41AD">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0.03</w:t>
            </w:r>
          </w:p>
        </w:tc>
        <w:tc>
          <w:tcPr>
            <w:tcW w:w="2268" w:type="dxa"/>
            <w:vAlign w:val="center"/>
          </w:tcPr>
          <w:p w14:paraId="25C5DD5F">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0.05</w:t>
            </w:r>
          </w:p>
        </w:tc>
        <w:tc>
          <w:tcPr>
            <w:tcW w:w="2268" w:type="dxa"/>
            <w:vAlign w:val="center"/>
          </w:tcPr>
          <w:p w14:paraId="4EFF5130">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0.07</w:t>
            </w:r>
          </w:p>
        </w:tc>
      </w:tr>
      <w:tr w14:paraId="2EBA02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647" w:type="dxa"/>
            <w:vAlign w:val="center"/>
          </w:tcPr>
          <w:p w14:paraId="25B8C697">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rPr>
            </w:pPr>
            <w:r>
              <w:rPr>
                <w:rFonts w:hint="default"/>
                <w:sz w:val="18"/>
                <w:szCs w:val="18"/>
                <w:highlight w:val="none"/>
                <w:vertAlign w:val="baseline"/>
                <w:lang w:val="en-US"/>
              </w:rPr>
              <w:t>硫酸盐</w:t>
            </w:r>
            <w:r>
              <w:rPr>
                <w:rFonts w:hint="eastAsia"/>
                <w:sz w:val="18"/>
                <w:szCs w:val="18"/>
                <w:highlight w:val="none"/>
                <w:vertAlign w:val="baseline"/>
                <w:lang w:val="en-US" w:eastAsia="zh-CN"/>
              </w:rPr>
              <w:t>（</w:t>
            </w:r>
            <w:r>
              <w:rPr>
                <w:rFonts w:hint="default"/>
                <w:sz w:val="18"/>
                <w:szCs w:val="18"/>
                <w:highlight w:val="none"/>
                <w:vertAlign w:val="baseline"/>
                <w:lang w:val="en-US"/>
              </w:rPr>
              <w:t>以SO</w:t>
            </w:r>
            <w:r>
              <w:rPr>
                <w:rFonts w:hint="default"/>
                <w:sz w:val="18"/>
                <w:szCs w:val="18"/>
                <w:highlight w:val="none"/>
                <w:vertAlign w:val="subscript"/>
                <w:lang w:val="en-US"/>
              </w:rPr>
              <w:t>4</w:t>
            </w:r>
            <w:r>
              <w:rPr>
                <w:rFonts w:hint="eastAsia"/>
                <w:sz w:val="18"/>
                <w:szCs w:val="18"/>
                <w:highlight w:val="none"/>
                <w:vertAlign w:val="superscript"/>
                <w:lang w:val="en-US" w:eastAsia="zh-CN"/>
              </w:rPr>
              <w:t>2-</w:t>
            </w:r>
            <w:r>
              <w:rPr>
                <w:rFonts w:hint="default"/>
                <w:sz w:val="18"/>
                <w:szCs w:val="18"/>
                <w:highlight w:val="none"/>
                <w:vertAlign w:val="baseline"/>
                <w:lang w:val="en-US"/>
              </w:rPr>
              <w:t>计</w:t>
            </w:r>
            <w:r>
              <w:rPr>
                <w:rFonts w:hint="eastAsia"/>
                <w:sz w:val="18"/>
                <w:szCs w:val="18"/>
                <w:highlight w:val="none"/>
                <w:vertAlign w:val="baseline"/>
                <w:lang w:val="en-US" w:eastAsia="zh-CN"/>
              </w:rPr>
              <w:t>）</w:t>
            </w:r>
            <w:r>
              <w:rPr>
                <w:rFonts w:hint="default"/>
                <w:sz w:val="18"/>
                <w:szCs w:val="18"/>
                <w:highlight w:val="none"/>
                <w:vertAlign w:val="baseline"/>
                <w:lang w:val="en-US"/>
              </w:rPr>
              <w:t>/%</w:t>
            </w:r>
            <w:r>
              <w:rPr>
                <w:rFonts w:hint="eastAsia"/>
                <w:sz w:val="18"/>
                <w:szCs w:val="18"/>
                <w:highlight w:val="none"/>
                <w:vertAlign w:val="baseline"/>
                <w:lang w:val="en-US" w:eastAsia="zh-CN"/>
              </w:rPr>
              <w:t xml:space="preserve"> ≤</w:t>
            </w:r>
          </w:p>
        </w:tc>
        <w:tc>
          <w:tcPr>
            <w:tcW w:w="2268" w:type="dxa"/>
            <w:vAlign w:val="center"/>
          </w:tcPr>
          <w:p w14:paraId="3A8302A6">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default"/>
                <w:sz w:val="18"/>
                <w:szCs w:val="18"/>
                <w:highlight w:val="none"/>
                <w:vertAlign w:val="baseline"/>
                <w:lang w:val="en-US"/>
              </w:rPr>
              <w:t>0.</w:t>
            </w:r>
            <w:r>
              <w:rPr>
                <w:rFonts w:hint="eastAsia"/>
                <w:sz w:val="18"/>
                <w:szCs w:val="18"/>
                <w:highlight w:val="none"/>
                <w:vertAlign w:val="baseline"/>
                <w:lang w:val="en-US" w:eastAsia="zh-CN"/>
              </w:rPr>
              <w:t>02</w:t>
            </w:r>
          </w:p>
        </w:tc>
        <w:tc>
          <w:tcPr>
            <w:tcW w:w="2268" w:type="dxa"/>
            <w:vAlign w:val="center"/>
          </w:tcPr>
          <w:p w14:paraId="21538C3A">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0.04</w:t>
            </w:r>
          </w:p>
        </w:tc>
        <w:tc>
          <w:tcPr>
            <w:tcW w:w="2268" w:type="dxa"/>
            <w:vAlign w:val="center"/>
          </w:tcPr>
          <w:p w14:paraId="50459109">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eastAsia="zh-CN"/>
              </w:rPr>
            </w:pPr>
            <w:r>
              <w:rPr>
                <w:rFonts w:hint="eastAsia"/>
                <w:sz w:val="18"/>
                <w:szCs w:val="18"/>
                <w:highlight w:val="none"/>
                <w:vertAlign w:val="baseline"/>
                <w:lang w:val="en-US" w:eastAsia="zh-CN"/>
              </w:rPr>
              <w:t>0.06</w:t>
            </w:r>
          </w:p>
        </w:tc>
      </w:tr>
      <w:tr w14:paraId="1CC75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647" w:type="dxa"/>
            <w:vAlign w:val="center"/>
          </w:tcPr>
          <w:p w14:paraId="3E668618">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rPr>
            </w:pPr>
            <w:r>
              <w:rPr>
                <w:rFonts w:hint="eastAsia"/>
                <w:sz w:val="18"/>
                <w:szCs w:val="18"/>
                <w:highlight w:val="none"/>
                <w:vertAlign w:val="baseline"/>
                <w:lang w:val="en-US" w:eastAsia="zh-CN"/>
              </w:rPr>
              <w:t>不挥发物</w:t>
            </w:r>
            <w:r>
              <w:rPr>
                <w:rFonts w:hint="default"/>
                <w:sz w:val="18"/>
                <w:szCs w:val="18"/>
                <w:highlight w:val="none"/>
                <w:vertAlign w:val="baseline"/>
                <w:lang w:val="en-US"/>
              </w:rPr>
              <w:t>/%</w:t>
            </w:r>
            <w:r>
              <w:rPr>
                <w:rFonts w:hint="eastAsia"/>
                <w:sz w:val="18"/>
                <w:szCs w:val="18"/>
                <w:highlight w:val="none"/>
                <w:vertAlign w:val="baseline"/>
                <w:lang w:val="en-US" w:eastAsia="zh-CN"/>
              </w:rPr>
              <w:t xml:space="preserve"> ≤</w:t>
            </w:r>
          </w:p>
        </w:tc>
        <w:tc>
          <w:tcPr>
            <w:tcW w:w="2268" w:type="dxa"/>
            <w:vAlign w:val="center"/>
          </w:tcPr>
          <w:p w14:paraId="3752E050">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0.10</w:t>
            </w:r>
          </w:p>
        </w:tc>
        <w:tc>
          <w:tcPr>
            <w:tcW w:w="2268" w:type="dxa"/>
            <w:vAlign w:val="center"/>
          </w:tcPr>
          <w:p w14:paraId="33D7C74E">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0.20</w:t>
            </w:r>
          </w:p>
        </w:tc>
        <w:tc>
          <w:tcPr>
            <w:tcW w:w="2268" w:type="dxa"/>
            <w:vAlign w:val="center"/>
          </w:tcPr>
          <w:p w14:paraId="6B0E20A4">
            <w:pPr>
              <w:pStyle w:val="60"/>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0.30</w:t>
            </w:r>
          </w:p>
        </w:tc>
      </w:tr>
    </w:tbl>
    <w:p w14:paraId="07335182">
      <w:pPr>
        <w:pStyle w:val="109"/>
        <w:spacing w:before="120" w:after="120"/>
        <w:rPr>
          <w:rFonts w:hint="default"/>
          <w:szCs w:val="24"/>
          <w:highlight w:val="none"/>
          <w:lang w:val="en-US" w:eastAsia="zh-CN"/>
        </w:rPr>
      </w:pPr>
      <w:bookmarkStart w:id="68" w:name="_Toc27624"/>
      <w:r>
        <w:rPr>
          <w:rFonts w:hint="default"/>
          <w:szCs w:val="24"/>
          <w:highlight w:val="none"/>
          <w:lang w:val="en-US" w:eastAsia="zh-CN"/>
        </w:rPr>
        <w:t>等级适用性</w:t>
      </w:r>
      <w:bookmarkEnd w:id="68"/>
    </w:p>
    <w:p w14:paraId="2A8E0127">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一级品：</w:t>
      </w:r>
      <w:r>
        <w:rPr>
          <w:rFonts w:hint="eastAsia" w:ascii="宋体" w:hAnsi="宋体" w:eastAsia="宋体" w:cs="宋体"/>
          <w:highlight w:val="none"/>
          <w:lang w:val="en-US" w:eastAsia="zh-CN"/>
        </w:rPr>
        <w:t>宜</w:t>
      </w:r>
      <w:r>
        <w:rPr>
          <w:rFonts w:hint="default" w:ascii="宋体" w:hAnsi="宋体" w:eastAsia="宋体" w:cs="宋体"/>
          <w:highlight w:val="none"/>
          <w:lang w:val="en-US" w:eastAsia="zh-CN"/>
        </w:rPr>
        <w:t>适用于医药原料、食品添加剂等对纯度要求高的领域。</w:t>
      </w:r>
    </w:p>
    <w:p w14:paraId="1C18947C">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二级品：</w:t>
      </w:r>
      <w:r>
        <w:rPr>
          <w:rFonts w:hint="eastAsia" w:ascii="宋体" w:hAnsi="宋体" w:eastAsia="宋体" w:cs="宋体"/>
          <w:highlight w:val="none"/>
          <w:lang w:val="en-US" w:eastAsia="zh-CN"/>
        </w:rPr>
        <w:t>宜</w:t>
      </w:r>
      <w:r>
        <w:rPr>
          <w:rFonts w:hint="default" w:ascii="宋体" w:hAnsi="宋体" w:eastAsia="宋体" w:cs="宋体"/>
          <w:highlight w:val="none"/>
          <w:lang w:val="en-US" w:eastAsia="zh-CN"/>
        </w:rPr>
        <w:t>适用于有机合成催化剂、精细化工原料等工业用途。</w:t>
      </w:r>
    </w:p>
    <w:p w14:paraId="6D153027">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三级品：</w:t>
      </w:r>
      <w:r>
        <w:rPr>
          <w:rFonts w:hint="eastAsia" w:ascii="宋体" w:hAnsi="宋体" w:eastAsia="宋体" w:cs="宋体"/>
          <w:highlight w:val="none"/>
          <w:lang w:val="en-US" w:eastAsia="zh-CN"/>
        </w:rPr>
        <w:t>宜</w:t>
      </w:r>
      <w:r>
        <w:rPr>
          <w:rFonts w:hint="default" w:ascii="宋体" w:hAnsi="宋体" w:eastAsia="宋体" w:cs="宋体"/>
          <w:highlight w:val="none"/>
          <w:lang w:val="en-US" w:eastAsia="zh-CN"/>
        </w:rPr>
        <w:t>适用于一般工业用途，如染料中间体、消毒剂原料等。</w:t>
      </w:r>
    </w:p>
    <w:p w14:paraId="283E875D">
      <w:pPr>
        <w:pStyle w:val="108"/>
        <w:spacing w:before="240" w:after="240"/>
        <w:rPr>
          <w:rFonts w:hint="default"/>
          <w:highlight w:val="none"/>
          <w:lang w:val="en-US" w:eastAsia="zh-CN"/>
        </w:rPr>
      </w:pPr>
      <w:bookmarkStart w:id="69" w:name="_Toc31941"/>
      <w:r>
        <w:rPr>
          <w:rFonts w:hint="eastAsia"/>
          <w:highlight w:val="none"/>
          <w:lang w:val="en-US" w:eastAsia="zh-CN"/>
        </w:rPr>
        <w:t>检测方法</w:t>
      </w:r>
      <w:bookmarkEnd w:id="69"/>
    </w:p>
    <w:p w14:paraId="55296B74">
      <w:pPr>
        <w:pStyle w:val="109"/>
        <w:spacing w:before="120" w:after="120"/>
        <w:rPr>
          <w:rFonts w:hint="default"/>
          <w:szCs w:val="24"/>
          <w:highlight w:val="none"/>
          <w:lang w:val="en-US" w:eastAsia="zh-CN"/>
        </w:rPr>
      </w:pPr>
      <w:bookmarkStart w:id="70" w:name="_Toc879"/>
      <w:r>
        <w:rPr>
          <w:rFonts w:hint="eastAsia"/>
          <w:szCs w:val="24"/>
          <w:highlight w:val="none"/>
          <w:lang w:val="en-US" w:eastAsia="zh-CN"/>
        </w:rPr>
        <w:t>采样</w:t>
      </w:r>
      <w:bookmarkEnd w:id="70"/>
    </w:p>
    <w:p w14:paraId="6849F077">
      <w:pPr>
        <w:pStyle w:val="60"/>
        <w:rPr>
          <w:rFonts w:hint="default"/>
          <w:highlight w:val="none"/>
          <w:lang w:val="en-US" w:eastAsia="zh-CN"/>
        </w:rPr>
      </w:pPr>
      <w:r>
        <w:rPr>
          <w:rFonts w:hint="default"/>
          <w:highlight w:val="none"/>
          <w:lang w:val="en-US" w:eastAsia="zh-CN"/>
        </w:rPr>
        <w:t>应按照GB/T 6678的规定进行采样。采样时应使用清洁干燥的采样器，迅速取样，避免碘挥发和污染。样品贮存于清洁、干燥的带磨口的棕色广口瓶中。</w:t>
      </w:r>
    </w:p>
    <w:p w14:paraId="644E3C73">
      <w:pPr>
        <w:pStyle w:val="109"/>
        <w:spacing w:before="120" w:after="120"/>
        <w:rPr>
          <w:rFonts w:hint="default" w:hAnsi="Times New Roman" w:cs="Times New Roman"/>
          <w:szCs w:val="24"/>
          <w:highlight w:val="none"/>
          <w:lang w:val="en-US" w:eastAsia="zh-CN"/>
        </w:rPr>
      </w:pPr>
      <w:bookmarkStart w:id="71" w:name="_Toc32035"/>
      <w:r>
        <w:rPr>
          <w:rFonts w:hint="eastAsia" w:hAnsi="Times New Roman" w:cs="Times New Roman"/>
          <w:szCs w:val="24"/>
          <w:highlight w:val="none"/>
          <w:lang w:val="en-US" w:eastAsia="zh-CN"/>
        </w:rPr>
        <w:t>外观检验</w:t>
      </w:r>
      <w:bookmarkEnd w:id="71"/>
    </w:p>
    <w:p w14:paraId="4238C250">
      <w:pPr>
        <w:pStyle w:val="60"/>
        <w:rPr>
          <w:rFonts w:hint="default"/>
          <w:highlight w:val="none"/>
          <w:lang w:val="en-US" w:eastAsia="zh-CN"/>
        </w:rPr>
      </w:pPr>
      <w:r>
        <w:rPr>
          <w:rFonts w:hint="default"/>
          <w:highlight w:val="none"/>
          <w:lang w:val="en-US" w:eastAsia="zh-CN"/>
        </w:rPr>
        <w:t>在自然光下，于白色衬底的表面皿或白瓷板上用目视法判定外观。</w:t>
      </w:r>
    </w:p>
    <w:p w14:paraId="174A7029">
      <w:pPr>
        <w:pStyle w:val="109"/>
        <w:spacing w:before="120" w:after="120"/>
        <w:rPr>
          <w:rFonts w:hint="default"/>
          <w:szCs w:val="24"/>
          <w:highlight w:val="none"/>
          <w:lang w:val="en-US" w:eastAsia="zh-CN"/>
        </w:rPr>
      </w:pPr>
      <w:bookmarkStart w:id="72" w:name="_Toc31394"/>
      <w:r>
        <w:rPr>
          <w:rFonts w:hint="eastAsia"/>
          <w:szCs w:val="24"/>
          <w:highlight w:val="none"/>
          <w:lang w:val="en-US" w:eastAsia="zh-CN"/>
        </w:rPr>
        <w:t>碘含量测定</w:t>
      </w:r>
      <w:bookmarkEnd w:id="72"/>
    </w:p>
    <w:p w14:paraId="1804D3C3">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试剂和溶液：</w:t>
      </w:r>
    </w:p>
    <w:p w14:paraId="43B1AD4E">
      <w:pPr>
        <w:pStyle w:val="178"/>
        <w:numPr>
          <w:ilvl w:val="0"/>
          <w:numId w:val="34"/>
        </w:numPr>
        <w:rPr>
          <w:rFonts w:hint="default" w:hAnsi="宋体" w:cs="宋体"/>
          <w:szCs w:val="24"/>
          <w:highlight w:val="none"/>
          <w:lang w:val="en-US" w:eastAsia="zh-CN"/>
        </w:rPr>
      </w:pPr>
      <w:r>
        <w:rPr>
          <w:rFonts w:hint="default" w:hAnsi="宋体" w:cs="宋体"/>
          <w:szCs w:val="24"/>
          <w:highlight w:val="none"/>
          <w:lang w:val="en-US" w:eastAsia="zh-CN"/>
        </w:rPr>
        <w:t>20%碘化钾溶液</w:t>
      </w:r>
      <w:r>
        <w:rPr>
          <w:rFonts w:hint="eastAsia" w:hAnsi="宋体" w:cs="宋体"/>
          <w:szCs w:val="24"/>
          <w:highlight w:val="none"/>
          <w:lang w:val="en-US" w:eastAsia="zh-CN"/>
        </w:rPr>
        <w:t>；</w:t>
      </w:r>
    </w:p>
    <w:p w14:paraId="2FECEAA6">
      <w:pPr>
        <w:pStyle w:val="178"/>
        <w:numPr>
          <w:ilvl w:val="0"/>
          <w:numId w:val="34"/>
        </w:numPr>
        <w:rPr>
          <w:rFonts w:hint="default" w:hAnsi="宋体" w:cs="宋体"/>
          <w:szCs w:val="24"/>
          <w:highlight w:val="none"/>
          <w:lang w:val="en-US" w:eastAsia="zh-CN"/>
        </w:rPr>
      </w:pPr>
      <w:r>
        <w:rPr>
          <w:rFonts w:hint="eastAsia" w:hAnsi="宋体" w:cs="宋体"/>
          <w:szCs w:val="24"/>
          <w:highlight w:val="none"/>
          <w:lang w:val="en-US" w:eastAsia="zh-CN"/>
        </w:rPr>
        <w:t>（</w:t>
      </w:r>
      <w:r>
        <w:rPr>
          <w:rFonts w:hint="eastAsia" w:ascii="宋体" w:hAnsi="宋体" w:eastAsia="宋体" w:cs="宋体"/>
          <w:kern w:val="0"/>
          <w:sz w:val="21"/>
          <w:szCs w:val="20"/>
          <w:highlight w:val="none"/>
          <w:lang w:val="en-US" w:eastAsia="zh-CN" w:bidi="ar-SA"/>
        </w:rPr>
        <w:t>硫酸溶液</w:t>
      </w:r>
      <w:r>
        <w:rPr>
          <w:rFonts w:hint="eastAsia" w:ascii="宋体" w:hAnsi="宋体" w:cs="宋体"/>
          <w:kern w:val="0"/>
          <w:sz w:val="21"/>
          <w:szCs w:val="20"/>
          <w:highlight w:val="none"/>
          <w:lang w:val="en-US" w:eastAsia="zh-CN" w:bidi="ar-SA"/>
        </w:rPr>
        <w:t>（</w:t>
      </w:r>
      <w:r>
        <w:rPr>
          <w:rFonts w:hint="eastAsia" w:ascii="宋体" w:hAnsi="宋体" w:eastAsia="宋体" w:cs="宋体"/>
          <w:kern w:val="0"/>
          <w:sz w:val="21"/>
          <w:szCs w:val="20"/>
          <w:highlight w:val="none"/>
          <w:lang w:val="en-US" w:eastAsia="zh-CN" w:bidi="ar-SA"/>
        </w:rPr>
        <w:t>1+4</w:t>
      </w:r>
      <w:r>
        <w:rPr>
          <w:rFonts w:hint="eastAsia" w:ascii="宋体" w:hAnsi="宋体" w:cs="宋体"/>
          <w:kern w:val="0"/>
          <w:sz w:val="21"/>
          <w:szCs w:val="20"/>
          <w:highlight w:val="none"/>
          <w:lang w:val="en-US" w:eastAsia="zh-CN" w:bidi="ar-SA"/>
        </w:rPr>
        <w:t>）</w:t>
      </w:r>
      <w:r>
        <w:rPr>
          <w:rFonts w:hint="eastAsia" w:hAnsi="宋体" w:cs="宋体"/>
          <w:szCs w:val="24"/>
          <w:highlight w:val="none"/>
          <w:lang w:val="en-US" w:eastAsia="zh-CN"/>
        </w:rPr>
        <w:t>；</w:t>
      </w:r>
    </w:p>
    <w:p w14:paraId="7F24C348">
      <w:pPr>
        <w:pStyle w:val="178"/>
        <w:numPr>
          <w:ilvl w:val="0"/>
          <w:numId w:val="34"/>
        </w:numPr>
        <w:rPr>
          <w:rFonts w:hint="default" w:hAnsi="宋体" w:cs="宋体"/>
          <w:szCs w:val="24"/>
          <w:highlight w:val="none"/>
          <w:lang w:val="en-US" w:eastAsia="zh-CN"/>
        </w:rPr>
      </w:pPr>
      <w:r>
        <w:rPr>
          <w:rFonts w:hint="default" w:hAnsi="宋体" w:cs="宋体"/>
          <w:szCs w:val="24"/>
          <w:highlight w:val="none"/>
          <w:lang w:val="en-US" w:eastAsia="zh-CN"/>
        </w:rPr>
        <w:t>硫代硫酸钠标准滴定液</w:t>
      </w:r>
      <w:r>
        <w:rPr>
          <w:rFonts w:hint="eastAsia" w:hAnsi="宋体" w:cs="宋体"/>
          <w:szCs w:val="24"/>
          <w:highlight w:val="none"/>
          <w:lang w:val="en-US" w:eastAsia="zh-CN"/>
        </w:rPr>
        <w:t>：</w:t>
      </w:r>
      <w:r>
        <w:rPr>
          <w:rFonts w:hint="default" w:hAnsi="宋体" w:cs="宋体"/>
          <w:szCs w:val="24"/>
          <w:highlight w:val="none"/>
          <w:lang w:val="en-US" w:eastAsia="zh-CN"/>
        </w:rPr>
        <w:t>0.1</w:t>
      </w:r>
      <w:r>
        <w:rPr>
          <w:rFonts w:hint="default" w:ascii="Times New Roman" w:hAnsi="Times New Roman" w:cs="Times New Roman"/>
          <w:szCs w:val="24"/>
          <w:highlight w:val="none"/>
          <w:lang w:val="en-US" w:eastAsia="zh-CN"/>
        </w:rPr>
        <w:t xml:space="preserve"> </w:t>
      </w:r>
      <w:r>
        <w:rPr>
          <w:rFonts w:hint="default" w:hAnsi="宋体" w:cs="宋体"/>
          <w:szCs w:val="24"/>
          <w:highlight w:val="none"/>
          <w:lang w:val="en-US" w:eastAsia="zh-CN"/>
        </w:rPr>
        <w:t>mol/L</w:t>
      </w:r>
      <w:r>
        <w:rPr>
          <w:rFonts w:hint="eastAsia" w:hAnsi="宋体" w:cs="宋体"/>
          <w:szCs w:val="24"/>
          <w:highlight w:val="none"/>
          <w:lang w:val="en-US" w:eastAsia="zh-CN"/>
        </w:rPr>
        <w:t>；</w:t>
      </w:r>
    </w:p>
    <w:p w14:paraId="43791478">
      <w:pPr>
        <w:pStyle w:val="178"/>
        <w:numPr>
          <w:ilvl w:val="0"/>
          <w:numId w:val="34"/>
        </w:numPr>
        <w:rPr>
          <w:rFonts w:hint="default" w:hAnsi="宋体" w:cs="宋体"/>
          <w:szCs w:val="24"/>
          <w:highlight w:val="none"/>
          <w:lang w:val="en-US" w:eastAsia="zh-CN"/>
        </w:rPr>
      </w:pPr>
      <w:r>
        <w:rPr>
          <w:rFonts w:hint="default" w:hAnsi="宋体" w:cs="宋体"/>
          <w:szCs w:val="24"/>
          <w:highlight w:val="none"/>
          <w:lang w:val="en-US" w:eastAsia="zh-CN"/>
        </w:rPr>
        <w:t>淀粉指示液</w:t>
      </w:r>
      <w:r>
        <w:rPr>
          <w:rFonts w:hint="eastAsia" w:hAnsi="宋体" w:cs="宋体"/>
          <w:szCs w:val="24"/>
          <w:highlight w:val="none"/>
          <w:lang w:val="en-US" w:eastAsia="zh-CN"/>
        </w:rPr>
        <w:t>：10</w:t>
      </w:r>
      <w:r>
        <w:rPr>
          <w:rFonts w:hint="default" w:ascii="Times New Roman" w:hAnsi="Times New Roman" w:cs="Times New Roman"/>
          <w:szCs w:val="24"/>
          <w:highlight w:val="none"/>
          <w:lang w:val="en-US" w:eastAsia="zh-CN"/>
        </w:rPr>
        <w:t xml:space="preserve"> </w:t>
      </w:r>
      <w:r>
        <w:rPr>
          <w:rFonts w:hint="eastAsia" w:hAnsi="宋体" w:cs="宋体"/>
          <w:szCs w:val="24"/>
          <w:highlight w:val="none"/>
          <w:lang w:val="en-US" w:eastAsia="zh-CN"/>
        </w:rPr>
        <w:t>g/L。</w:t>
      </w:r>
    </w:p>
    <w:p w14:paraId="2E025425">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方法步骤：</w:t>
      </w:r>
      <w:bookmarkEnd w:id="65"/>
      <w:r>
        <w:rPr>
          <w:rFonts w:hint="eastAsia" w:ascii="宋体" w:hAnsi="宋体" w:eastAsia="宋体" w:cs="宋体"/>
          <w:kern w:val="0"/>
          <w:sz w:val="21"/>
          <w:szCs w:val="20"/>
          <w:highlight w:val="none"/>
          <w:lang w:val="en-US" w:eastAsia="zh-CN" w:bidi="ar-SA"/>
        </w:rPr>
        <w:t>于具塞锥形瓶中注入5</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mL水及2</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g碘化钾,用称量瓶称量0.4</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g</w:t>
      </w:r>
      <w:r>
        <w:rPr>
          <w:rFonts w:hint="eastAsia" w:ascii="宋体" w:hAnsi="宋体" w:cs="宋体"/>
          <w:kern w:val="0"/>
          <w:sz w:val="21"/>
          <w:szCs w:val="20"/>
          <w:highlight w:val="none"/>
          <w:lang w:val="en-US" w:eastAsia="zh-CN" w:bidi="ar-SA"/>
        </w:rPr>
        <w:t>～</w:t>
      </w:r>
      <w:r>
        <w:rPr>
          <w:rFonts w:hint="eastAsia" w:ascii="宋体" w:hAnsi="宋体" w:eastAsia="宋体" w:cs="宋体"/>
          <w:kern w:val="0"/>
          <w:sz w:val="21"/>
          <w:szCs w:val="20"/>
          <w:highlight w:val="none"/>
          <w:lang w:val="en-US" w:eastAsia="zh-CN" w:bidi="ar-SA"/>
        </w:rPr>
        <w:t>0.5</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g样品,盖紧瓶塞再称量,精确至0.0002</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g。摇动至样品溶解后,稀释至200</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mL,加5</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mL硫酸溶液</w:t>
      </w:r>
      <w:r>
        <w:rPr>
          <w:rFonts w:hint="eastAsia" w:ascii="宋体" w:hAnsi="宋体" w:cs="宋体"/>
          <w:kern w:val="0"/>
          <w:sz w:val="21"/>
          <w:szCs w:val="20"/>
          <w:highlight w:val="none"/>
          <w:lang w:val="en-US" w:eastAsia="zh-CN" w:bidi="ar-SA"/>
        </w:rPr>
        <w:t>（</w:t>
      </w:r>
      <w:r>
        <w:rPr>
          <w:rFonts w:hint="eastAsia" w:ascii="宋体" w:hAnsi="宋体" w:eastAsia="宋体" w:cs="宋体"/>
          <w:kern w:val="0"/>
          <w:sz w:val="21"/>
          <w:szCs w:val="20"/>
          <w:highlight w:val="none"/>
          <w:lang w:val="en-US" w:eastAsia="zh-CN" w:bidi="ar-SA"/>
        </w:rPr>
        <w:t>1+4</w:t>
      </w:r>
      <w:r>
        <w:rPr>
          <w:rFonts w:hint="eastAsia" w:ascii="宋体" w:hAnsi="宋体" w:cs="宋体"/>
          <w:kern w:val="0"/>
          <w:sz w:val="21"/>
          <w:szCs w:val="20"/>
          <w:highlight w:val="none"/>
          <w:lang w:val="en-US" w:eastAsia="zh-CN" w:bidi="ar-SA"/>
        </w:rPr>
        <w:t>）</w:t>
      </w:r>
      <w:r>
        <w:rPr>
          <w:rFonts w:hint="eastAsia" w:ascii="宋体" w:hAnsi="宋体" w:eastAsia="宋体" w:cs="宋体"/>
          <w:kern w:val="0"/>
          <w:sz w:val="21"/>
          <w:szCs w:val="20"/>
          <w:highlight w:val="none"/>
          <w:lang w:val="en-US" w:eastAsia="zh-CN" w:bidi="ar-SA"/>
        </w:rPr>
        <w:t>,用硫代硫酸钠标准滴定溶液[c</w:t>
      </w:r>
      <w:r>
        <w:rPr>
          <w:rFonts w:hint="eastAsia" w:ascii="宋体" w:hAnsi="宋体" w:cs="宋体"/>
          <w:kern w:val="0"/>
          <w:sz w:val="21"/>
          <w:szCs w:val="20"/>
          <w:highlight w:val="none"/>
          <w:lang w:val="en-US" w:eastAsia="zh-CN" w:bidi="ar-SA"/>
        </w:rPr>
        <w:t>（</w:t>
      </w:r>
      <w:r>
        <w:rPr>
          <w:rFonts w:hint="eastAsia" w:ascii="宋体" w:hAnsi="宋体" w:eastAsia="宋体" w:cs="宋体"/>
          <w:kern w:val="0"/>
          <w:sz w:val="21"/>
          <w:szCs w:val="20"/>
          <w:highlight w:val="none"/>
          <w:lang w:val="en-US" w:eastAsia="zh-CN" w:bidi="ar-SA"/>
        </w:rPr>
        <w:t>Na</w:t>
      </w:r>
      <w:r>
        <w:rPr>
          <w:rFonts w:hint="eastAsia" w:ascii="宋体" w:hAnsi="宋体" w:eastAsia="宋体" w:cs="宋体"/>
          <w:kern w:val="0"/>
          <w:sz w:val="21"/>
          <w:szCs w:val="20"/>
          <w:highlight w:val="none"/>
          <w:vertAlign w:val="subscript"/>
          <w:lang w:val="en-US" w:eastAsia="zh-CN" w:bidi="ar-SA"/>
        </w:rPr>
        <w:t>2</w:t>
      </w:r>
      <w:r>
        <w:rPr>
          <w:rFonts w:hint="eastAsia" w:ascii="宋体" w:hAnsi="宋体" w:eastAsia="宋体" w:cs="宋体"/>
          <w:kern w:val="0"/>
          <w:sz w:val="21"/>
          <w:szCs w:val="20"/>
          <w:highlight w:val="none"/>
          <w:lang w:val="en-US" w:eastAsia="zh-CN" w:bidi="ar-SA"/>
        </w:rPr>
        <w:t>S</w:t>
      </w:r>
      <w:r>
        <w:rPr>
          <w:rFonts w:hint="eastAsia" w:ascii="宋体" w:hAnsi="宋体" w:eastAsia="宋体" w:cs="宋体"/>
          <w:kern w:val="0"/>
          <w:sz w:val="21"/>
          <w:szCs w:val="20"/>
          <w:highlight w:val="none"/>
          <w:vertAlign w:val="subscript"/>
          <w:lang w:val="en-US" w:eastAsia="zh-CN" w:bidi="ar-SA"/>
        </w:rPr>
        <w:t>2</w:t>
      </w:r>
      <w:r>
        <w:rPr>
          <w:rFonts w:hint="eastAsia" w:ascii="宋体" w:hAnsi="宋体" w:eastAsia="宋体" w:cs="宋体"/>
          <w:kern w:val="0"/>
          <w:sz w:val="21"/>
          <w:szCs w:val="20"/>
          <w:highlight w:val="none"/>
          <w:lang w:val="en-US" w:eastAsia="zh-CN" w:bidi="ar-SA"/>
        </w:rPr>
        <w:t>O</w:t>
      </w:r>
      <w:r>
        <w:rPr>
          <w:rFonts w:hint="eastAsia" w:ascii="宋体" w:hAnsi="宋体" w:cs="宋体"/>
          <w:kern w:val="0"/>
          <w:sz w:val="21"/>
          <w:szCs w:val="20"/>
          <w:highlight w:val="none"/>
          <w:vertAlign w:val="subscript"/>
          <w:lang w:val="en-US" w:eastAsia="zh-CN" w:bidi="ar-SA"/>
        </w:rPr>
        <w:t>3</w:t>
      </w:r>
      <w:r>
        <w:rPr>
          <w:rFonts w:hint="eastAsia" w:ascii="宋体" w:hAnsi="宋体" w:cs="宋体"/>
          <w:kern w:val="0"/>
          <w:sz w:val="21"/>
          <w:szCs w:val="20"/>
          <w:highlight w:val="none"/>
          <w:lang w:val="en-US" w:eastAsia="zh-CN" w:bidi="ar-SA"/>
        </w:rPr>
        <w:t>）</w:t>
      </w:r>
      <w:r>
        <w:rPr>
          <w:rFonts w:hint="eastAsia" w:ascii="宋体" w:hAnsi="宋体" w:eastAsia="宋体" w:cs="宋体"/>
          <w:kern w:val="0"/>
          <w:sz w:val="21"/>
          <w:szCs w:val="20"/>
          <w:highlight w:val="none"/>
          <w:lang w:val="en-US" w:eastAsia="zh-CN" w:bidi="ar-SA"/>
        </w:rPr>
        <w:t>=0.1</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mol/L]滴定至溶液呈淡黄色时,加2</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mL淀粉指示液</w:t>
      </w:r>
      <w:r>
        <w:rPr>
          <w:rFonts w:hint="eastAsia" w:ascii="宋体" w:hAnsi="宋体" w:cs="宋体"/>
          <w:kern w:val="0"/>
          <w:sz w:val="21"/>
          <w:szCs w:val="20"/>
          <w:highlight w:val="none"/>
          <w:lang w:val="en-US" w:eastAsia="zh-CN" w:bidi="ar-SA"/>
        </w:rPr>
        <w:t>（</w:t>
      </w:r>
      <w:r>
        <w:rPr>
          <w:rFonts w:hint="eastAsia" w:ascii="宋体" w:hAnsi="宋体" w:eastAsia="宋体" w:cs="宋体"/>
          <w:kern w:val="0"/>
          <w:sz w:val="21"/>
          <w:szCs w:val="20"/>
          <w:highlight w:val="none"/>
          <w:lang w:val="en-US" w:eastAsia="zh-CN" w:bidi="ar-SA"/>
        </w:rPr>
        <w:t>10g/L</w:t>
      </w:r>
      <w:r>
        <w:rPr>
          <w:rFonts w:hint="eastAsia" w:ascii="宋体" w:hAnsi="宋体" w:cs="宋体"/>
          <w:kern w:val="0"/>
          <w:sz w:val="21"/>
          <w:szCs w:val="20"/>
          <w:highlight w:val="none"/>
          <w:lang w:val="en-US" w:eastAsia="zh-CN" w:bidi="ar-SA"/>
        </w:rPr>
        <w:t>），</w:t>
      </w:r>
      <w:r>
        <w:rPr>
          <w:rFonts w:hint="eastAsia" w:ascii="宋体" w:hAnsi="宋体" w:eastAsia="宋体" w:cs="宋体"/>
          <w:kern w:val="0"/>
          <w:sz w:val="21"/>
          <w:szCs w:val="20"/>
          <w:highlight w:val="none"/>
          <w:lang w:val="en-US" w:eastAsia="zh-CN" w:bidi="ar-SA"/>
        </w:rPr>
        <w:t>继续滴定至溶液蓝色消失。同时做空白试验。</w:t>
      </w:r>
    </w:p>
    <w:p w14:paraId="6E006253">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计算：应按照公式（1）进行计算：</w:t>
      </w:r>
    </w:p>
    <w:p w14:paraId="0C8FE8FD">
      <w:pPr>
        <w:pStyle w:val="60"/>
        <w:jc w:val="right"/>
        <w:rPr>
          <w:rFonts w:hint="eastAsia" w:ascii="宋体" w:hAnsi="宋体" w:eastAsia="宋体" w:cs="宋体"/>
          <w:highlight w:val="none"/>
        </w:rPr>
      </w:pPr>
      <m:oMath>
        <m:r>
          <m:rPr/>
          <w:rPr>
            <w:rFonts w:hint="eastAsia" w:ascii="Cambria Math" w:hAnsi="Cambria Math" w:cs="Times New Roman"/>
            <w:sz w:val="21"/>
            <w:highlight w:val="none"/>
            <w:lang w:val="en-US" w:eastAsia="zh-CN" w:bidi="ar-SA"/>
          </w:rPr>
          <m:t>碘（</m:t>
        </m:r>
        <m:r>
          <m:rPr/>
          <w:rPr>
            <w:rFonts w:hint="default" w:ascii="Cambria Math" w:hAnsi="Cambria Math" w:cs="Times New Roman"/>
            <w:sz w:val="21"/>
            <w:highlight w:val="none"/>
            <w:lang w:val="en-US" w:eastAsia="zh-CN" w:bidi="ar-SA"/>
          </w:rPr>
          <m:t>%</m:t>
        </m:r>
        <m:r>
          <m:rPr/>
          <w:rPr>
            <w:rFonts w:hint="eastAsia" w:ascii="Cambria Math" w:hAnsi="Cambria Math" w:cs="Times New Roman"/>
            <w:sz w:val="21"/>
            <w:highlight w:val="none"/>
            <w:lang w:val="en-US" w:eastAsia="zh-CN" w:bidi="ar-SA"/>
          </w:rPr>
          <m:t>）</m:t>
        </m:r>
        <m:r>
          <m:rPr/>
          <w:rPr>
            <w:rFonts w:hint="default" w:ascii="Cambria Math" w:hAnsi="Cambria Math" w:cs="Times New Roman"/>
            <w:sz w:val="21"/>
            <w:highlight w:val="none"/>
            <w:lang w:val="en-US" w:eastAsia="zh-CN" w:bidi="ar-SA"/>
          </w:rPr>
          <m:t>=</m:t>
        </m:r>
        <m:f>
          <m:fPr>
            <m:ctrlPr>
              <w:rPr>
                <w:rFonts w:hint="default" w:ascii="Cambria Math" w:hAnsi="Cambria Math" w:cs="Times New Roman"/>
                <w:i/>
                <w:sz w:val="21"/>
                <w:highlight w:val="none"/>
                <w:lang w:val="en-US" w:eastAsia="zh-CN" w:bidi="ar-SA"/>
              </w:rPr>
            </m:ctrlPr>
          </m:fPr>
          <m:num>
            <m:r>
              <m:rPr/>
              <w:rPr>
                <w:rFonts w:hint="default" w:ascii="Cambria Math" w:hAnsi="Cambria Math" w:cs="Times New Roman"/>
                <w:sz w:val="21"/>
                <w:highlight w:val="none"/>
                <w:lang w:val="en-US" w:eastAsia="zh-CN" w:bidi="ar-SA"/>
              </w:rPr>
              <m:t>V</m:t>
            </m:r>
            <m:r>
              <m:rPr/>
              <w:rPr>
                <w:rFonts w:ascii="Cambria Math" w:hAnsi="Cambria Math" w:cs="Times New Roman"/>
                <w:sz w:val="21"/>
                <w:highlight w:val="none"/>
                <w:lang w:val="en-US" w:bidi="ar-SA"/>
              </w:rPr>
              <m:t>×</m:t>
            </m:r>
            <m:r>
              <m:rPr/>
              <w:rPr>
                <w:rFonts w:hint="default" w:ascii="Cambria Math" w:hAnsi="Cambria Math" w:cs="Times New Roman"/>
                <w:sz w:val="21"/>
                <w:highlight w:val="none"/>
                <w:lang w:val="en-US" w:eastAsia="zh-CN" w:bidi="ar-SA"/>
              </w:rPr>
              <m:t>C</m:t>
            </m:r>
            <m:r>
              <m:rPr/>
              <w:rPr>
                <w:rFonts w:ascii="Cambria Math" w:hAnsi="Cambria Math" w:cs="Times New Roman"/>
                <w:sz w:val="21"/>
                <w:highlight w:val="none"/>
                <w:lang w:val="en-US" w:bidi="ar-SA"/>
              </w:rPr>
              <m:t>×</m:t>
            </m:r>
            <m:r>
              <m:rPr/>
              <w:rPr>
                <w:rFonts w:hint="default" w:ascii="Cambria Math" w:hAnsi="Cambria Math" w:cs="Times New Roman"/>
                <w:sz w:val="21"/>
                <w:highlight w:val="none"/>
                <w:lang w:val="en-US" w:eastAsia="zh-CN" w:bidi="ar-SA"/>
              </w:rPr>
              <m:t>0.1269</m:t>
            </m:r>
            <m:ctrlPr>
              <w:rPr>
                <w:rFonts w:hint="default" w:ascii="Cambria Math" w:hAnsi="Cambria Math" w:cs="Times New Roman"/>
                <w:i/>
                <w:sz w:val="21"/>
                <w:highlight w:val="none"/>
                <w:lang w:val="en-US" w:eastAsia="zh-CN" w:bidi="ar-SA"/>
              </w:rPr>
            </m:ctrlPr>
          </m:num>
          <m:den>
            <m:r>
              <m:rPr/>
              <w:rPr>
                <w:rFonts w:hint="default" w:ascii="Cambria Math" w:hAnsi="Cambria Math" w:cs="Times New Roman"/>
                <w:sz w:val="21"/>
                <w:highlight w:val="none"/>
                <w:lang w:val="en-US" w:eastAsia="zh-CN" w:bidi="ar-SA"/>
              </w:rPr>
              <m:t>m</m:t>
            </m:r>
            <m:ctrlPr>
              <w:rPr>
                <w:rFonts w:hint="default" w:ascii="Cambria Math" w:hAnsi="Cambria Math" w:cs="Times New Roman"/>
                <w:i/>
                <w:sz w:val="21"/>
                <w:highlight w:val="none"/>
                <w:lang w:val="en-US" w:eastAsia="zh-CN" w:bidi="ar-SA"/>
              </w:rPr>
            </m:ctrlPr>
          </m:den>
        </m:f>
        <m:r>
          <m:rPr/>
          <w:rPr>
            <w:rFonts w:hint="default" w:ascii="Cambria Math" w:hAnsi="Cambria Math" w:cs="Cambria Math"/>
            <w:sz w:val="21"/>
            <w:highlight w:val="none"/>
            <w:lang w:val="en-US" w:eastAsia="zh-CN" w:bidi="ar-SA"/>
          </w:rPr>
          <m:t>×</m:t>
        </m:r>
        <m:r>
          <m:rPr/>
          <w:rPr>
            <w:rFonts w:hint="default" w:ascii="Cambria Math" w:hAnsi="Cambria Math" w:cs="Times New Roman"/>
            <w:sz w:val="21"/>
            <w:highlight w:val="none"/>
            <w:lang w:val="en-US" w:eastAsia="zh-CN" w:bidi="ar-SA"/>
          </w:rPr>
          <m:t>100%</m:t>
        </m:r>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1</w:t>
      </w:r>
      <w:r>
        <w:rPr>
          <w:rFonts w:hint="eastAsia" w:ascii="宋体" w:hAnsi="宋体" w:eastAsia="宋体" w:cs="宋体"/>
          <w:highlight w:val="none"/>
        </w:rPr>
        <w:t>）</w:t>
      </w:r>
    </w:p>
    <w:p w14:paraId="51A51F46">
      <w:pPr>
        <w:pStyle w:val="60"/>
        <w:jc w:val="left"/>
        <w:rPr>
          <w:rFonts w:hint="eastAsia" w:hAnsi="宋体" w:cs="宋体"/>
          <w:highlight w:val="none"/>
          <w:lang w:val="en-US" w:eastAsia="zh-CN"/>
        </w:rPr>
      </w:pPr>
      <w:r>
        <w:rPr>
          <w:rFonts w:hint="eastAsia" w:hAnsi="宋体" w:cs="宋体"/>
          <w:highlight w:val="none"/>
          <w:lang w:val="en-US" w:eastAsia="zh-CN"/>
        </w:rPr>
        <w:t>式中：</w:t>
      </w:r>
    </w:p>
    <w:p w14:paraId="0EE09E0E">
      <w:pPr>
        <w:pStyle w:val="60"/>
        <w:jc w:val="left"/>
        <w:rPr>
          <w:rFonts w:hint="eastAsia" w:hAnsi="宋体" w:cs="宋体"/>
          <w:highlight w:val="none"/>
          <w:lang w:val="en-US" w:eastAsia="zh-CN"/>
        </w:rPr>
      </w:pPr>
      <w:r>
        <w:rPr>
          <w:rFonts w:hint="default" w:hAnsi="宋体" w:cs="宋体"/>
          <w:i/>
          <w:iCs/>
          <w:highlight w:val="none"/>
          <w:lang w:val="en-US" w:eastAsia="zh-CN"/>
        </w:rPr>
        <w:t>V</w:t>
      </w:r>
      <w:r>
        <w:rPr>
          <w:rFonts w:hint="default" w:ascii="Times New Roman" w:hAnsi="Times New Roman" w:cs="Times New Roman"/>
          <w:highlight w:val="none"/>
          <w:lang w:val="en-US" w:eastAsia="zh-CN"/>
        </w:rPr>
        <w:t>——</w:t>
      </w:r>
      <w:r>
        <w:rPr>
          <w:rFonts w:hint="default" w:hAnsi="宋体" w:cs="宋体"/>
          <w:highlight w:val="none"/>
          <w:lang w:val="en-US" w:eastAsia="zh-CN"/>
        </w:rPr>
        <w:t>消耗硫代硫酸钠滴定液</w:t>
      </w:r>
      <w:r>
        <w:rPr>
          <w:rFonts w:hint="eastAsia" w:hAnsi="宋体" w:cs="宋体"/>
          <w:highlight w:val="none"/>
          <w:lang w:val="en-US" w:eastAsia="zh-CN"/>
        </w:rPr>
        <w:t>（</w:t>
      </w:r>
      <w:r>
        <w:rPr>
          <w:rFonts w:hint="default" w:hAnsi="宋体" w:cs="宋体"/>
          <w:highlight w:val="none"/>
          <w:lang w:val="en-US" w:eastAsia="zh-CN"/>
        </w:rPr>
        <w:t>0.1</w:t>
      </w:r>
      <w:r>
        <w:rPr>
          <w:rFonts w:hint="default" w:ascii="Times New Roman" w:hAnsi="Times New Roman" w:cs="Times New Roman"/>
          <w:szCs w:val="24"/>
          <w:highlight w:val="none"/>
          <w:lang w:val="en-US" w:eastAsia="zh-CN"/>
        </w:rPr>
        <w:t xml:space="preserve"> </w:t>
      </w:r>
      <w:r>
        <w:rPr>
          <w:rFonts w:hint="default" w:hAnsi="宋体" w:cs="宋体"/>
          <w:highlight w:val="none"/>
          <w:lang w:val="en-US" w:eastAsia="zh-CN"/>
        </w:rPr>
        <w:t>mol/L</w:t>
      </w:r>
      <w:r>
        <w:rPr>
          <w:rFonts w:hint="eastAsia" w:hAnsi="宋体" w:cs="宋体"/>
          <w:highlight w:val="none"/>
          <w:lang w:val="en-US" w:eastAsia="zh-CN"/>
        </w:rPr>
        <w:t>）</w:t>
      </w:r>
      <w:r>
        <w:rPr>
          <w:rFonts w:hint="default" w:hAnsi="宋体" w:cs="宋体"/>
          <w:highlight w:val="none"/>
          <w:lang w:val="en-US" w:eastAsia="zh-CN"/>
        </w:rPr>
        <w:t>的体积</w:t>
      </w:r>
      <w:r>
        <w:rPr>
          <w:rFonts w:hint="eastAsia" w:hAnsi="宋体" w:cs="宋体"/>
          <w:highlight w:val="none"/>
          <w:lang w:val="en-US" w:eastAsia="zh-CN"/>
        </w:rPr>
        <w:t>，</w:t>
      </w:r>
      <w:r>
        <w:rPr>
          <w:rFonts w:hint="default" w:hAnsi="宋体" w:cs="宋体"/>
          <w:highlight w:val="none"/>
          <w:lang w:val="en-US" w:eastAsia="zh-CN"/>
        </w:rPr>
        <w:t>m</w:t>
      </w:r>
      <w:r>
        <w:rPr>
          <w:rFonts w:hint="eastAsia" w:hAnsi="宋体" w:cs="宋体"/>
          <w:highlight w:val="none"/>
          <w:lang w:val="en-US" w:eastAsia="zh-CN"/>
        </w:rPr>
        <w:t>L；</w:t>
      </w:r>
    </w:p>
    <w:p w14:paraId="311F3C43">
      <w:pPr>
        <w:pStyle w:val="60"/>
        <w:jc w:val="left"/>
        <w:rPr>
          <w:rFonts w:hint="eastAsia" w:hAnsi="宋体" w:cs="宋体"/>
          <w:highlight w:val="none"/>
          <w:lang w:val="en-US" w:eastAsia="zh-CN"/>
        </w:rPr>
      </w:pPr>
      <w:r>
        <w:rPr>
          <w:rFonts w:hint="default" w:hAnsi="宋体" w:cs="宋体"/>
          <w:i/>
          <w:iCs/>
          <w:highlight w:val="none"/>
          <w:lang w:val="en-US" w:eastAsia="zh-CN"/>
        </w:rPr>
        <w:t>C</w:t>
      </w:r>
      <w:r>
        <w:rPr>
          <w:rFonts w:hint="default" w:ascii="Times New Roman" w:hAnsi="Times New Roman" w:cs="Times New Roman"/>
          <w:highlight w:val="none"/>
          <w:lang w:val="en-US" w:eastAsia="zh-CN"/>
        </w:rPr>
        <w:t>——</w:t>
      </w:r>
      <w:r>
        <w:rPr>
          <w:rFonts w:hint="default" w:hAnsi="宋体" w:cs="宋体"/>
          <w:highlight w:val="none"/>
          <w:lang w:val="en-US" w:eastAsia="zh-CN"/>
        </w:rPr>
        <w:t>硫代硫酸钠滴定液的实际浓度</w:t>
      </w:r>
      <w:r>
        <w:rPr>
          <w:rFonts w:hint="eastAsia" w:hAnsi="宋体" w:cs="宋体"/>
          <w:highlight w:val="none"/>
          <w:lang w:val="en-US" w:eastAsia="zh-CN"/>
        </w:rPr>
        <w:t>，</w:t>
      </w:r>
      <w:r>
        <w:rPr>
          <w:rFonts w:hint="default" w:hAnsi="宋体" w:cs="宋体"/>
          <w:highlight w:val="none"/>
          <w:lang w:val="en-US" w:eastAsia="zh-CN"/>
        </w:rPr>
        <w:t>mol/L</w:t>
      </w:r>
      <w:r>
        <w:rPr>
          <w:rFonts w:hint="eastAsia" w:hAnsi="宋体" w:cs="宋体"/>
          <w:highlight w:val="none"/>
          <w:lang w:val="en-US" w:eastAsia="zh-CN"/>
        </w:rPr>
        <w:t>；</w:t>
      </w:r>
    </w:p>
    <w:p w14:paraId="335263C5">
      <w:pPr>
        <w:pStyle w:val="60"/>
        <w:jc w:val="left"/>
        <w:rPr>
          <w:rFonts w:hint="default" w:hAnsi="宋体" w:cs="宋体"/>
          <w:highlight w:val="none"/>
          <w:lang w:val="en-US" w:eastAsia="zh-CN"/>
        </w:rPr>
      </w:pPr>
      <w:r>
        <w:rPr>
          <w:rFonts w:hint="eastAsia" w:hAnsi="宋体" w:cs="宋体"/>
          <w:highlight w:val="none"/>
          <w:lang w:val="en-US" w:eastAsia="zh-CN"/>
        </w:rPr>
        <w:t>m</w:t>
      </w:r>
      <w:r>
        <w:rPr>
          <w:rFonts w:hint="default" w:ascii="Times New Roman" w:hAnsi="Times New Roman" w:cs="Times New Roman"/>
          <w:highlight w:val="none"/>
          <w:lang w:val="en-US" w:eastAsia="zh-CN"/>
        </w:rPr>
        <w:t>——</w:t>
      </w:r>
      <w:r>
        <w:rPr>
          <w:rFonts w:hint="default" w:hAnsi="宋体" w:cs="宋体"/>
          <w:highlight w:val="none"/>
          <w:lang w:val="en-US" w:eastAsia="zh-CN"/>
        </w:rPr>
        <w:t>样品的重量</w:t>
      </w:r>
      <w:r>
        <w:rPr>
          <w:rFonts w:hint="eastAsia" w:hAnsi="宋体" w:cs="宋体"/>
          <w:highlight w:val="none"/>
          <w:lang w:val="en-US" w:eastAsia="zh-CN"/>
        </w:rPr>
        <w:t>，</w:t>
      </w:r>
      <w:r>
        <w:rPr>
          <w:rFonts w:hint="default" w:hAnsi="宋体" w:cs="宋体"/>
          <w:highlight w:val="none"/>
          <w:lang w:val="en-US" w:eastAsia="zh-CN"/>
        </w:rPr>
        <w:t>g。</w:t>
      </w:r>
    </w:p>
    <w:p w14:paraId="01FB8406">
      <w:pPr>
        <w:pStyle w:val="60"/>
        <w:rPr>
          <w:rFonts w:hint="default"/>
          <w:highlight w:val="none"/>
          <w:lang w:val="en-US" w:eastAsia="zh-CN"/>
        </w:rPr>
      </w:pPr>
      <w:r>
        <w:rPr>
          <w:rFonts w:hint="default"/>
          <w:highlight w:val="none"/>
          <w:lang w:val="en-US" w:eastAsia="zh-CN"/>
        </w:rPr>
        <w:t>以平行测定结果的算术平均值为测定结果</w:t>
      </w:r>
      <w:r>
        <w:rPr>
          <w:rFonts w:hint="eastAsia"/>
          <w:highlight w:val="none"/>
          <w:lang w:val="en-US" w:eastAsia="zh-CN"/>
        </w:rPr>
        <w:t>，</w:t>
      </w:r>
      <w:r>
        <w:rPr>
          <w:rFonts w:hint="default"/>
          <w:highlight w:val="none"/>
          <w:lang w:val="en-US" w:eastAsia="zh-CN"/>
        </w:rPr>
        <w:t>结果保留至小数点后两位。平行测定结果的绝对差值</w:t>
      </w:r>
      <w:r>
        <w:rPr>
          <w:rFonts w:hint="eastAsia"/>
          <w:highlight w:val="none"/>
          <w:lang w:val="en-US" w:eastAsia="zh-CN"/>
        </w:rPr>
        <w:t>（</w:t>
      </w:r>
      <w:r>
        <w:rPr>
          <w:rFonts w:hint="default"/>
          <w:highlight w:val="none"/>
          <w:lang w:val="en-US" w:eastAsia="zh-CN"/>
        </w:rPr>
        <w:t>以I计</w:t>
      </w:r>
      <w:r>
        <w:rPr>
          <w:rFonts w:hint="eastAsia"/>
          <w:highlight w:val="none"/>
          <w:lang w:val="en-US" w:eastAsia="zh-CN"/>
        </w:rPr>
        <w:t>）</w:t>
      </w:r>
      <w:r>
        <w:rPr>
          <w:rFonts w:hint="default"/>
          <w:highlight w:val="none"/>
          <w:lang w:val="en-US" w:eastAsia="zh-CN"/>
        </w:rPr>
        <w:t>不大于0.5%。</w:t>
      </w:r>
    </w:p>
    <w:p w14:paraId="4E08DF88">
      <w:pPr>
        <w:pStyle w:val="109"/>
        <w:spacing w:before="120" w:after="120"/>
        <w:rPr>
          <w:rFonts w:hint="eastAsia" w:hAnsi="Times New Roman" w:cs="Times New Roman"/>
          <w:szCs w:val="24"/>
          <w:highlight w:val="none"/>
          <w:lang w:val="en-US" w:eastAsia="zh-CN"/>
        </w:rPr>
      </w:pPr>
      <w:bookmarkStart w:id="73" w:name="_Toc18241"/>
      <w:r>
        <w:rPr>
          <w:rFonts w:hint="default" w:hAnsi="Times New Roman" w:cs="Times New Roman"/>
          <w:szCs w:val="24"/>
          <w:highlight w:val="none"/>
          <w:lang w:val="en-US" w:eastAsia="zh-CN"/>
        </w:rPr>
        <w:t>氯化物及溴化物含量的测定</w:t>
      </w:r>
      <w:r>
        <w:rPr>
          <w:rFonts w:hint="eastAsia" w:hAnsi="Times New Roman" w:cs="Times New Roman"/>
          <w:szCs w:val="24"/>
          <w:highlight w:val="none"/>
          <w:lang w:val="en-US" w:eastAsia="zh-CN"/>
        </w:rPr>
        <w:t>（</w:t>
      </w:r>
      <w:r>
        <w:rPr>
          <w:rFonts w:hint="default" w:hAnsi="Times New Roman" w:cs="Times New Roman"/>
          <w:szCs w:val="24"/>
          <w:highlight w:val="none"/>
          <w:lang w:val="en-US" w:eastAsia="zh-CN"/>
        </w:rPr>
        <w:t>以CI</w:t>
      </w:r>
      <w:r>
        <w:rPr>
          <w:rFonts w:hint="eastAsia" w:cs="Times New Roman"/>
          <w:szCs w:val="24"/>
          <w:highlight w:val="none"/>
          <w:vertAlign w:val="superscript"/>
          <w:lang w:val="en-US" w:eastAsia="zh-CN"/>
        </w:rPr>
        <w:t>-</w:t>
      </w:r>
      <w:r>
        <w:rPr>
          <w:rFonts w:hint="default" w:hAnsi="Times New Roman" w:cs="Times New Roman"/>
          <w:szCs w:val="24"/>
          <w:highlight w:val="none"/>
          <w:lang w:val="en-US" w:eastAsia="zh-CN"/>
        </w:rPr>
        <w:t>计</w:t>
      </w:r>
      <w:r>
        <w:rPr>
          <w:rFonts w:hint="eastAsia" w:hAnsi="Times New Roman" w:cs="Times New Roman"/>
          <w:szCs w:val="24"/>
          <w:highlight w:val="none"/>
          <w:lang w:val="en-US" w:eastAsia="zh-CN"/>
        </w:rPr>
        <w:t>）</w:t>
      </w:r>
      <w:bookmarkEnd w:id="73"/>
    </w:p>
    <w:p w14:paraId="756D6365">
      <w:pPr>
        <w:pStyle w:val="69"/>
        <w:bidi w:val="0"/>
        <w:ind w:left="0" w:leftChars="0" w:firstLine="0" w:firstLineChars="0"/>
        <w:rPr>
          <w:rFonts w:hint="eastAsia"/>
          <w:strike w:val="0"/>
          <w:dstrike w:val="0"/>
          <w:color w:val="auto"/>
          <w:highlight w:val="none"/>
          <w:lang w:val="en-US" w:eastAsia="zh-CN"/>
        </w:rPr>
      </w:pPr>
      <w:r>
        <w:rPr>
          <w:rFonts w:hint="eastAsia"/>
          <w:strike w:val="0"/>
          <w:dstrike w:val="0"/>
          <w:color w:val="auto"/>
          <w:highlight w:val="none"/>
          <w:lang w:val="en-US" w:eastAsia="zh-CN"/>
        </w:rPr>
        <w:t>离子色谱法（仲裁法）</w:t>
      </w:r>
    </w:p>
    <w:p w14:paraId="72CA05CA">
      <w:pPr>
        <w:pStyle w:val="98"/>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方法提要：利用离子交换色谱柱分离样品中的阴离子（Cl</w:t>
      </w:r>
      <w:r>
        <w:rPr>
          <w:rFonts w:hint="eastAsia" w:ascii="宋体" w:hAnsi="宋体" w:eastAsia="宋体" w:cs="宋体"/>
          <w:highlight w:val="none"/>
          <w:vertAlign w:val="superscript"/>
          <w:lang w:val="en-US" w:eastAsia="zh-CN"/>
        </w:rPr>
        <w:t>-</w:t>
      </w:r>
      <w:r>
        <w:rPr>
          <w:rFonts w:hint="eastAsia" w:ascii="宋体" w:hAnsi="宋体" w:eastAsia="宋体" w:cs="宋体"/>
          <w:highlight w:val="none"/>
          <w:lang w:val="en-US" w:eastAsia="zh-CN"/>
        </w:rPr>
        <w:t>、Br</w:t>
      </w:r>
      <w:r>
        <w:rPr>
          <w:rFonts w:hint="eastAsia" w:ascii="宋体" w:hAnsi="宋体" w:eastAsia="宋体" w:cs="宋体"/>
          <w:highlight w:val="none"/>
          <w:vertAlign w:val="superscript"/>
          <w:lang w:val="en-US" w:eastAsia="zh-CN"/>
        </w:rPr>
        <w:t>-</w:t>
      </w:r>
      <w:r>
        <w:rPr>
          <w:rFonts w:hint="eastAsia" w:ascii="宋体" w:hAnsi="宋体" w:eastAsia="宋体" w:cs="宋体"/>
          <w:highlight w:val="none"/>
          <w:lang w:val="en-US" w:eastAsia="zh-CN"/>
        </w:rPr>
        <w:t>等），经抑制器降低淋洗液背景电导后，用电导检测器检测。通过保留时间定性，峰面积或峰高定量，以Cl</w:t>
      </w:r>
      <w:r>
        <w:rPr>
          <w:rFonts w:hint="eastAsia" w:ascii="宋体" w:hAnsi="宋体" w:eastAsia="宋体" w:cs="宋体"/>
          <w:highlight w:val="none"/>
          <w:vertAlign w:val="superscript"/>
          <w:lang w:val="en-US" w:eastAsia="zh-CN"/>
        </w:rPr>
        <w:t>-</w:t>
      </w:r>
      <w:r>
        <w:rPr>
          <w:rFonts w:hint="eastAsia" w:ascii="宋体" w:hAnsi="宋体" w:eastAsia="宋体" w:cs="宋体"/>
          <w:highlight w:val="none"/>
          <w:lang w:val="en-US" w:eastAsia="zh-CN"/>
        </w:rPr>
        <w:t>标准曲线计算总卤素含量（以Cl</w:t>
      </w:r>
      <w:r>
        <w:rPr>
          <w:rFonts w:hint="eastAsia" w:ascii="宋体" w:hAnsi="宋体" w:eastAsia="宋体" w:cs="宋体"/>
          <w:highlight w:val="none"/>
          <w:vertAlign w:val="superscript"/>
          <w:lang w:val="en-US" w:eastAsia="zh-CN"/>
        </w:rPr>
        <w:t>-</w:t>
      </w:r>
      <w:r>
        <w:rPr>
          <w:rFonts w:hint="eastAsia" w:ascii="宋体" w:hAnsi="宋体" w:eastAsia="宋体" w:cs="宋体"/>
          <w:highlight w:val="none"/>
          <w:lang w:val="en-US" w:eastAsia="zh-CN"/>
        </w:rPr>
        <w:t>计）。</w:t>
      </w:r>
    </w:p>
    <w:p w14:paraId="7D372C9A">
      <w:pPr>
        <w:pStyle w:val="98"/>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容器与材料：</w:t>
      </w:r>
    </w:p>
    <w:p w14:paraId="53027DA2">
      <w:pPr>
        <w:pStyle w:val="178"/>
        <w:numPr>
          <w:ilvl w:val="0"/>
          <w:numId w:val="35"/>
        </w:numPr>
        <w:rPr>
          <w:rFonts w:hint="eastAsia" w:hAnsi="宋体" w:cs="宋体"/>
          <w:szCs w:val="24"/>
          <w:highlight w:val="none"/>
          <w:lang w:val="en-US" w:eastAsia="zh-CN"/>
        </w:rPr>
      </w:pPr>
      <w:r>
        <w:rPr>
          <w:rFonts w:hint="eastAsia" w:hAnsi="宋体" w:cs="宋体"/>
          <w:szCs w:val="24"/>
          <w:highlight w:val="none"/>
          <w:lang w:val="en-US" w:eastAsia="zh-CN"/>
        </w:rPr>
        <w:t>离子色谱仪：配备阴离子分析柱、抑制器、电导检测器；</w:t>
      </w:r>
    </w:p>
    <w:p w14:paraId="1304D9F7">
      <w:pPr>
        <w:pStyle w:val="178"/>
        <w:numPr>
          <w:ilvl w:val="0"/>
          <w:numId w:val="35"/>
        </w:numPr>
        <w:rPr>
          <w:rFonts w:hint="eastAsia" w:hAnsi="宋体" w:cs="宋体"/>
          <w:szCs w:val="24"/>
          <w:highlight w:val="none"/>
          <w:lang w:val="en-US" w:eastAsia="zh-CN"/>
        </w:rPr>
      </w:pPr>
      <w:r>
        <w:rPr>
          <w:rFonts w:hint="eastAsia" w:hAnsi="宋体" w:cs="宋体"/>
          <w:szCs w:val="24"/>
          <w:highlight w:val="none"/>
          <w:lang w:val="en-US" w:eastAsia="zh-CN"/>
        </w:rPr>
        <w:t>分析天平：精度0.1</w:t>
      </w:r>
      <w:r>
        <w:rPr>
          <w:rFonts w:hint="default" w:ascii="Times New Roman" w:hAnsi="Times New Roman" w:cs="Times New Roman"/>
          <w:szCs w:val="24"/>
          <w:highlight w:val="none"/>
          <w:lang w:val="en-US" w:eastAsia="zh-CN"/>
        </w:rPr>
        <w:t xml:space="preserve"> </w:t>
      </w:r>
      <w:r>
        <w:rPr>
          <w:rFonts w:hint="eastAsia" w:hAnsi="宋体" w:cs="宋体"/>
          <w:szCs w:val="24"/>
          <w:highlight w:val="none"/>
          <w:lang w:val="en-US" w:eastAsia="zh-CN"/>
        </w:rPr>
        <w:t>mg；</w:t>
      </w:r>
    </w:p>
    <w:p w14:paraId="46F46839">
      <w:pPr>
        <w:pStyle w:val="178"/>
        <w:numPr>
          <w:ilvl w:val="0"/>
          <w:numId w:val="35"/>
        </w:numPr>
        <w:rPr>
          <w:rFonts w:hint="eastAsia" w:hAnsi="宋体" w:cs="宋体"/>
          <w:szCs w:val="24"/>
          <w:highlight w:val="none"/>
          <w:lang w:val="en-US" w:eastAsia="zh-CN"/>
        </w:rPr>
      </w:pPr>
      <w:r>
        <w:rPr>
          <w:rFonts w:hint="eastAsia" w:hAnsi="宋体" w:cs="宋体"/>
          <w:szCs w:val="24"/>
          <w:highlight w:val="none"/>
          <w:lang w:val="en-US" w:eastAsia="zh-CN"/>
        </w:rPr>
        <w:t>超声波清洗器；</w:t>
      </w:r>
    </w:p>
    <w:p w14:paraId="18C23723">
      <w:pPr>
        <w:pStyle w:val="178"/>
        <w:numPr>
          <w:ilvl w:val="0"/>
          <w:numId w:val="35"/>
        </w:numPr>
        <w:rPr>
          <w:rFonts w:hint="eastAsia" w:hAnsi="宋体" w:cs="宋体"/>
          <w:szCs w:val="24"/>
          <w:lang w:val="en-US" w:eastAsia="zh-CN"/>
        </w:rPr>
      </w:pPr>
      <w:r>
        <w:rPr>
          <w:rFonts w:hint="eastAsia" w:hAnsi="宋体" w:cs="宋体"/>
          <w:szCs w:val="24"/>
          <w:lang w:val="en-US" w:eastAsia="zh-CN"/>
        </w:rPr>
        <w:t>0.22</w:t>
      </w:r>
      <w:r>
        <w:rPr>
          <w:rFonts w:hint="default" w:ascii="Times New Roman" w:hAnsi="Times New Roman" w:cs="Times New Roman"/>
          <w:szCs w:val="24"/>
          <w:lang w:val="en-US" w:eastAsia="zh-CN"/>
        </w:rPr>
        <w:t xml:space="preserve"> </w:t>
      </w:r>
      <w:r>
        <w:rPr>
          <w:rFonts w:hint="eastAsia" w:hAnsi="宋体" w:cs="宋体"/>
          <w:szCs w:val="24"/>
          <w:lang w:val="en-US" w:eastAsia="zh-CN"/>
        </w:rPr>
        <w:t>μm微孔滤膜及过滤装置；</w:t>
      </w:r>
    </w:p>
    <w:p w14:paraId="05776321">
      <w:pPr>
        <w:pStyle w:val="178"/>
        <w:numPr>
          <w:ilvl w:val="0"/>
          <w:numId w:val="35"/>
        </w:numPr>
        <w:rPr>
          <w:rFonts w:hint="eastAsia" w:hAnsi="宋体" w:cs="宋体"/>
          <w:szCs w:val="24"/>
          <w:lang w:val="en-US" w:eastAsia="zh-CN"/>
        </w:rPr>
      </w:pPr>
      <w:r>
        <w:rPr>
          <w:rFonts w:hint="eastAsia" w:hAnsi="宋体" w:cs="宋体"/>
          <w:szCs w:val="24"/>
          <w:lang w:val="en-US" w:eastAsia="zh-CN"/>
        </w:rPr>
        <w:t>容量瓶：50</w:t>
      </w:r>
      <w:r>
        <w:rPr>
          <w:rFonts w:hint="default" w:ascii="Times New Roman" w:hAnsi="Times New Roman" w:cs="Times New Roman"/>
          <w:szCs w:val="24"/>
          <w:lang w:val="en-US" w:eastAsia="zh-CN"/>
        </w:rPr>
        <w:t xml:space="preserve"> </w:t>
      </w:r>
      <w:r>
        <w:rPr>
          <w:rFonts w:hint="eastAsia" w:hAnsi="宋体" w:cs="宋体"/>
          <w:szCs w:val="24"/>
          <w:lang w:val="en-US" w:eastAsia="zh-CN"/>
        </w:rPr>
        <w:t>mL、100</w:t>
      </w:r>
      <w:r>
        <w:rPr>
          <w:rFonts w:hint="default" w:ascii="Times New Roman" w:hAnsi="Times New Roman" w:cs="Times New Roman"/>
          <w:szCs w:val="24"/>
          <w:lang w:val="en-US" w:eastAsia="zh-CN"/>
        </w:rPr>
        <w:t xml:space="preserve"> </w:t>
      </w:r>
      <w:r>
        <w:rPr>
          <w:rFonts w:hint="eastAsia" w:hAnsi="宋体" w:cs="宋体"/>
          <w:szCs w:val="24"/>
          <w:lang w:val="en-US" w:eastAsia="zh-CN"/>
        </w:rPr>
        <w:t>mL、1000</w:t>
      </w:r>
      <w:r>
        <w:rPr>
          <w:rFonts w:hint="default" w:ascii="Times New Roman" w:hAnsi="Times New Roman" w:cs="Times New Roman"/>
          <w:szCs w:val="24"/>
          <w:lang w:val="en-US" w:eastAsia="zh-CN"/>
        </w:rPr>
        <w:t xml:space="preserve"> </w:t>
      </w:r>
      <w:r>
        <w:rPr>
          <w:rFonts w:hint="eastAsia" w:hAnsi="宋体" w:cs="宋体"/>
          <w:szCs w:val="24"/>
          <w:lang w:val="en-US" w:eastAsia="zh-CN"/>
        </w:rPr>
        <w:t>mL；</w:t>
      </w:r>
    </w:p>
    <w:p w14:paraId="6B5FEA76">
      <w:pPr>
        <w:pStyle w:val="178"/>
        <w:numPr>
          <w:ilvl w:val="0"/>
          <w:numId w:val="35"/>
        </w:numPr>
        <w:rPr>
          <w:rFonts w:hint="eastAsia" w:hAnsi="宋体" w:cs="宋体"/>
          <w:szCs w:val="24"/>
          <w:lang w:val="en-US" w:eastAsia="zh-CN"/>
        </w:rPr>
      </w:pPr>
      <w:r>
        <w:rPr>
          <w:rFonts w:hint="eastAsia" w:hAnsi="宋体" w:cs="宋体"/>
          <w:szCs w:val="24"/>
          <w:lang w:val="en-US" w:eastAsia="zh-CN"/>
        </w:rPr>
        <w:t>移液管、微量注射器；</w:t>
      </w:r>
    </w:p>
    <w:p w14:paraId="73AEB86D">
      <w:pPr>
        <w:pStyle w:val="178"/>
        <w:numPr>
          <w:ilvl w:val="0"/>
          <w:numId w:val="35"/>
        </w:numPr>
        <w:rPr>
          <w:rFonts w:hint="default" w:hAnsi="宋体" w:cs="宋体"/>
          <w:szCs w:val="24"/>
          <w:lang w:val="en-US" w:eastAsia="zh-CN"/>
        </w:rPr>
      </w:pPr>
      <w:r>
        <w:rPr>
          <w:rFonts w:hint="default" w:hAnsi="宋体" w:cs="宋体"/>
          <w:szCs w:val="24"/>
          <w:lang w:val="en-US" w:eastAsia="zh-CN"/>
        </w:rPr>
        <w:t>氯化钠</w:t>
      </w:r>
      <w:r>
        <w:rPr>
          <w:rFonts w:hint="eastAsia" w:hAnsi="宋体" w:cs="宋体"/>
          <w:szCs w:val="24"/>
          <w:lang w:val="en-US" w:eastAsia="zh-CN"/>
        </w:rPr>
        <w:t>：</w:t>
      </w:r>
      <w:r>
        <w:rPr>
          <w:rFonts w:hint="default" w:hAnsi="宋体" w:cs="宋体"/>
          <w:szCs w:val="24"/>
          <w:lang w:val="en-US" w:eastAsia="zh-CN"/>
        </w:rPr>
        <w:t>基准试剂，用于配制Cl</w:t>
      </w:r>
      <w:r>
        <w:rPr>
          <w:rFonts w:hint="eastAsia" w:hAnsi="宋体" w:cs="宋体"/>
          <w:szCs w:val="24"/>
          <w:vertAlign w:val="superscript"/>
          <w:lang w:val="en-US" w:eastAsia="zh-CN"/>
        </w:rPr>
        <w:t>-</w:t>
      </w:r>
      <w:r>
        <w:rPr>
          <w:rFonts w:hint="default" w:hAnsi="宋体" w:cs="宋体"/>
          <w:szCs w:val="24"/>
          <w:lang w:val="en-US" w:eastAsia="zh-CN"/>
        </w:rPr>
        <w:t>标准溶液</w:t>
      </w:r>
      <w:r>
        <w:rPr>
          <w:rFonts w:hint="eastAsia" w:hAnsi="宋体" w:cs="宋体"/>
          <w:szCs w:val="24"/>
          <w:lang w:val="en-US" w:eastAsia="zh-CN"/>
        </w:rPr>
        <w:t>；</w:t>
      </w:r>
    </w:p>
    <w:p w14:paraId="4EE14D99">
      <w:pPr>
        <w:pStyle w:val="178"/>
        <w:numPr>
          <w:ilvl w:val="0"/>
          <w:numId w:val="35"/>
        </w:numPr>
        <w:rPr>
          <w:rFonts w:hint="default" w:hAnsi="宋体" w:cs="宋体"/>
          <w:szCs w:val="24"/>
          <w:lang w:val="en-US" w:eastAsia="zh-CN"/>
        </w:rPr>
      </w:pPr>
      <w:r>
        <w:rPr>
          <w:rFonts w:hint="default" w:hAnsi="宋体" w:cs="宋体"/>
          <w:szCs w:val="24"/>
          <w:lang w:val="en-US" w:eastAsia="zh-CN"/>
        </w:rPr>
        <w:t>溴化钠</w:t>
      </w:r>
      <w:r>
        <w:rPr>
          <w:rFonts w:hint="eastAsia" w:hAnsi="宋体" w:cs="宋体"/>
          <w:szCs w:val="24"/>
          <w:lang w:val="en-US" w:eastAsia="zh-CN"/>
        </w:rPr>
        <w:t>：</w:t>
      </w:r>
      <w:r>
        <w:rPr>
          <w:rFonts w:hint="default" w:hAnsi="宋体" w:cs="宋体"/>
          <w:szCs w:val="24"/>
          <w:lang w:val="en-US" w:eastAsia="zh-CN"/>
        </w:rPr>
        <w:t>基准试剂，用于配制Br</w:t>
      </w:r>
      <w:r>
        <w:rPr>
          <w:rFonts w:hint="eastAsia" w:hAnsi="宋体" w:cs="宋体"/>
          <w:szCs w:val="24"/>
          <w:vertAlign w:val="superscript"/>
          <w:lang w:val="en-US" w:eastAsia="zh-CN"/>
        </w:rPr>
        <w:t>-</w:t>
      </w:r>
      <w:r>
        <w:rPr>
          <w:rFonts w:hint="default" w:hAnsi="宋体" w:cs="宋体"/>
          <w:szCs w:val="24"/>
          <w:lang w:val="en-US" w:eastAsia="zh-CN"/>
        </w:rPr>
        <w:t>标准溶液</w:t>
      </w:r>
      <w:r>
        <w:rPr>
          <w:rFonts w:hint="eastAsia" w:hAnsi="宋体" w:cs="宋体"/>
          <w:szCs w:val="24"/>
          <w:lang w:val="en-US" w:eastAsia="zh-CN"/>
        </w:rPr>
        <w:t>；</w:t>
      </w:r>
    </w:p>
    <w:p w14:paraId="46AA1C91">
      <w:pPr>
        <w:pStyle w:val="178"/>
        <w:numPr>
          <w:ilvl w:val="0"/>
          <w:numId w:val="35"/>
        </w:numPr>
        <w:rPr>
          <w:rFonts w:hint="default" w:hAnsi="宋体" w:cs="宋体"/>
          <w:szCs w:val="24"/>
          <w:lang w:val="en-US" w:eastAsia="zh-CN"/>
        </w:rPr>
      </w:pPr>
      <w:r>
        <w:rPr>
          <w:rFonts w:hint="default" w:hAnsi="宋体" w:cs="宋体"/>
          <w:szCs w:val="24"/>
          <w:lang w:val="en-US" w:eastAsia="zh-CN"/>
        </w:rPr>
        <w:t>碳酸钠/碳酸氢钠淋洗液或仪器推荐淋洗液</w:t>
      </w:r>
      <w:r>
        <w:rPr>
          <w:rFonts w:hint="eastAsia" w:hAnsi="宋体" w:cs="宋体"/>
          <w:szCs w:val="24"/>
          <w:lang w:val="en-US" w:eastAsia="zh-CN"/>
        </w:rPr>
        <w:t>；</w:t>
      </w:r>
    </w:p>
    <w:p w14:paraId="1E8DA8E6">
      <w:pPr>
        <w:pStyle w:val="178"/>
        <w:numPr>
          <w:ilvl w:val="0"/>
          <w:numId w:val="35"/>
        </w:numPr>
        <w:rPr>
          <w:rFonts w:hint="default" w:hAnsi="宋体" w:cs="宋体"/>
          <w:szCs w:val="24"/>
          <w:lang w:val="en-US" w:eastAsia="zh-CN"/>
        </w:rPr>
      </w:pPr>
      <w:r>
        <w:rPr>
          <w:rFonts w:hint="default" w:hAnsi="宋体" w:cs="宋体"/>
          <w:szCs w:val="24"/>
          <w:lang w:val="en-US" w:eastAsia="zh-CN"/>
        </w:rPr>
        <w:t>超纯水</w:t>
      </w:r>
      <w:r>
        <w:rPr>
          <w:rFonts w:hint="eastAsia" w:hAnsi="宋体" w:cs="宋体"/>
          <w:szCs w:val="24"/>
          <w:lang w:val="en-US" w:eastAsia="zh-CN"/>
        </w:rPr>
        <w:t>：</w:t>
      </w:r>
      <w:r>
        <w:rPr>
          <w:rFonts w:hint="default" w:hAnsi="宋体" w:cs="宋体"/>
          <w:szCs w:val="24"/>
          <w:lang w:val="en-US" w:eastAsia="zh-CN"/>
        </w:rPr>
        <w:t>电阻率≥18.2</w:t>
      </w:r>
      <w:r>
        <w:rPr>
          <w:rFonts w:hint="default" w:ascii="Times New Roman" w:hAnsi="Times New Roman" w:cs="Times New Roman"/>
          <w:szCs w:val="24"/>
          <w:lang w:val="en-US" w:eastAsia="zh-CN"/>
        </w:rPr>
        <w:t xml:space="preserve"> </w:t>
      </w:r>
      <w:r>
        <w:rPr>
          <w:rFonts w:hint="default" w:hAnsi="宋体" w:cs="宋体"/>
          <w:szCs w:val="24"/>
          <w:lang w:val="en-US" w:eastAsia="zh-CN"/>
        </w:rPr>
        <w:t>MΩ·cm</w:t>
      </w:r>
      <w:r>
        <w:rPr>
          <w:rFonts w:hint="eastAsia" w:hAnsi="宋体" w:cs="宋体"/>
          <w:szCs w:val="24"/>
          <w:lang w:val="en-US" w:eastAsia="zh-CN"/>
        </w:rPr>
        <w:t>；</w:t>
      </w:r>
    </w:p>
    <w:p w14:paraId="744BD5AF">
      <w:pPr>
        <w:pStyle w:val="178"/>
        <w:numPr>
          <w:ilvl w:val="0"/>
          <w:numId w:val="35"/>
        </w:numPr>
        <w:rPr>
          <w:rFonts w:hint="default" w:hAnsi="宋体" w:cs="宋体"/>
          <w:szCs w:val="24"/>
          <w:lang w:val="en-US" w:eastAsia="zh-CN"/>
        </w:rPr>
      </w:pPr>
      <w:r>
        <w:rPr>
          <w:rFonts w:hint="default" w:hAnsi="宋体" w:cs="宋体"/>
          <w:szCs w:val="24"/>
          <w:lang w:val="en-US" w:eastAsia="zh-CN"/>
        </w:rPr>
        <w:t>样品溶液</w:t>
      </w:r>
      <w:r>
        <w:rPr>
          <w:rFonts w:hint="eastAsia" w:hAnsi="宋体" w:cs="宋体"/>
          <w:szCs w:val="24"/>
          <w:lang w:val="en-US" w:eastAsia="zh-CN"/>
        </w:rPr>
        <w:t>：</w:t>
      </w:r>
      <w:r>
        <w:rPr>
          <w:rFonts w:hint="default" w:hAnsi="宋体" w:cs="宋体"/>
          <w:szCs w:val="24"/>
          <w:lang w:val="en-US" w:eastAsia="zh-CN"/>
        </w:rPr>
        <w:t>需经适当前处理</w:t>
      </w:r>
      <w:r>
        <w:rPr>
          <w:rFonts w:hint="eastAsia" w:hAnsi="宋体" w:cs="宋体"/>
          <w:szCs w:val="24"/>
          <w:lang w:val="en-US" w:eastAsia="zh-CN"/>
        </w:rPr>
        <w:t>。</w:t>
      </w:r>
    </w:p>
    <w:p w14:paraId="2664D86D">
      <w:pPr>
        <w:pStyle w:val="98"/>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eastAsia" w:ascii="宋体" w:hAnsi="宋体" w:eastAsia="宋体" w:cs="宋体"/>
          <w:lang w:val="en-US" w:eastAsia="zh-CN"/>
        </w:rPr>
        <w:t>色谱条件：</w:t>
      </w:r>
    </w:p>
    <w:p w14:paraId="32FF8854">
      <w:pPr>
        <w:pStyle w:val="178"/>
        <w:numPr>
          <w:ilvl w:val="0"/>
          <w:numId w:val="36"/>
        </w:numPr>
        <w:rPr>
          <w:rFonts w:hint="default" w:hAnsi="宋体" w:cs="宋体"/>
          <w:szCs w:val="24"/>
          <w:highlight w:val="none"/>
          <w:lang w:val="en-US" w:eastAsia="zh-CN"/>
        </w:rPr>
      </w:pPr>
      <w:r>
        <w:rPr>
          <w:rFonts w:hint="default" w:hAnsi="宋体" w:cs="宋体"/>
          <w:szCs w:val="24"/>
          <w:highlight w:val="none"/>
          <w:lang w:val="en-US" w:eastAsia="zh-CN"/>
        </w:rPr>
        <w:t>色谱柱：阴离子交换分析柱</w:t>
      </w:r>
      <w:r>
        <w:rPr>
          <w:rFonts w:hint="eastAsia" w:hAnsi="宋体" w:cs="宋体"/>
          <w:szCs w:val="24"/>
          <w:highlight w:val="none"/>
          <w:lang w:val="en-US" w:eastAsia="zh-CN"/>
        </w:rPr>
        <w:t>，</w:t>
      </w:r>
      <w:r>
        <w:rPr>
          <w:rFonts w:hint="default" w:hAnsi="宋体" w:cs="宋体"/>
          <w:szCs w:val="24"/>
          <w:highlight w:val="none"/>
          <w:lang w:val="en-US" w:eastAsia="zh-CN"/>
        </w:rPr>
        <w:t>保护柱；</w:t>
      </w:r>
    </w:p>
    <w:p w14:paraId="0F21E46F">
      <w:pPr>
        <w:pStyle w:val="178"/>
        <w:numPr>
          <w:ilvl w:val="0"/>
          <w:numId w:val="36"/>
        </w:numPr>
        <w:rPr>
          <w:rFonts w:hint="default" w:hAnsi="宋体" w:cs="宋体"/>
          <w:szCs w:val="24"/>
          <w:highlight w:val="none"/>
          <w:lang w:val="en-US" w:eastAsia="zh-CN"/>
        </w:rPr>
      </w:pPr>
      <w:r>
        <w:rPr>
          <w:rFonts w:hint="default" w:hAnsi="宋体" w:cs="宋体"/>
          <w:szCs w:val="24"/>
          <w:highlight w:val="none"/>
          <w:lang w:val="en-US" w:eastAsia="zh-CN"/>
        </w:rPr>
        <w:t>淋洗液：氢氧化钾溶液或碳酸盐/碳酸氢盐缓冲溶液，浓度20</w:t>
      </w:r>
      <w:r>
        <w:rPr>
          <w:rFonts w:hint="default" w:ascii="Times New Roman" w:hAnsi="Times New Roman" w:cs="Times New Roman"/>
          <w:szCs w:val="24"/>
          <w:highlight w:val="none"/>
          <w:lang w:val="en-US" w:eastAsia="zh-CN"/>
        </w:rPr>
        <w:t xml:space="preserve"> </w:t>
      </w:r>
      <w:r>
        <w:rPr>
          <w:rFonts w:hint="default" w:hAnsi="宋体" w:cs="宋体"/>
          <w:szCs w:val="24"/>
          <w:highlight w:val="none"/>
          <w:lang w:val="en-US" w:eastAsia="zh-CN"/>
        </w:rPr>
        <w:t>mmol/L～50</w:t>
      </w:r>
      <w:r>
        <w:rPr>
          <w:rFonts w:hint="default" w:ascii="Times New Roman" w:hAnsi="Times New Roman" w:cs="Times New Roman"/>
          <w:szCs w:val="24"/>
          <w:highlight w:val="none"/>
          <w:lang w:val="en-US" w:eastAsia="zh-CN"/>
        </w:rPr>
        <w:t xml:space="preserve"> </w:t>
      </w:r>
      <w:r>
        <w:rPr>
          <w:rFonts w:hint="default" w:hAnsi="宋体" w:cs="宋体"/>
          <w:szCs w:val="24"/>
          <w:highlight w:val="none"/>
          <w:lang w:val="en-US" w:eastAsia="zh-CN"/>
        </w:rPr>
        <w:t>mmol/L；</w:t>
      </w:r>
    </w:p>
    <w:p w14:paraId="74115943">
      <w:pPr>
        <w:pStyle w:val="178"/>
        <w:numPr>
          <w:ilvl w:val="0"/>
          <w:numId w:val="36"/>
        </w:numPr>
        <w:rPr>
          <w:rFonts w:hint="default" w:hAnsi="宋体" w:cs="宋体"/>
          <w:szCs w:val="24"/>
          <w:highlight w:val="none"/>
          <w:lang w:val="en-US" w:eastAsia="zh-CN"/>
        </w:rPr>
      </w:pPr>
      <w:r>
        <w:rPr>
          <w:rFonts w:hint="default" w:hAnsi="宋体" w:cs="宋体"/>
          <w:szCs w:val="24"/>
          <w:highlight w:val="none"/>
          <w:lang w:val="en-US" w:eastAsia="zh-CN"/>
        </w:rPr>
        <w:t>淋洗液流速：1.0</w:t>
      </w:r>
      <w:r>
        <w:rPr>
          <w:rFonts w:hint="default" w:ascii="Times New Roman" w:hAnsi="Times New Roman" w:cs="Times New Roman"/>
          <w:szCs w:val="24"/>
          <w:highlight w:val="none"/>
          <w:lang w:val="en-US" w:eastAsia="zh-CN"/>
        </w:rPr>
        <w:t xml:space="preserve"> </w:t>
      </w:r>
      <w:r>
        <w:rPr>
          <w:rFonts w:hint="default" w:hAnsi="宋体" w:cs="宋体"/>
          <w:szCs w:val="24"/>
          <w:highlight w:val="none"/>
          <w:lang w:val="en-US" w:eastAsia="zh-CN"/>
        </w:rPr>
        <w:t>mL/min；</w:t>
      </w:r>
    </w:p>
    <w:p w14:paraId="10830999">
      <w:pPr>
        <w:pStyle w:val="178"/>
        <w:numPr>
          <w:ilvl w:val="0"/>
          <w:numId w:val="36"/>
        </w:numPr>
        <w:rPr>
          <w:rFonts w:hint="default" w:hAnsi="宋体" w:cs="宋体"/>
          <w:szCs w:val="24"/>
          <w:highlight w:val="none"/>
          <w:lang w:val="en-US" w:eastAsia="zh-CN"/>
        </w:rPr>
      </w:pPr>
      <w:r>
        <w:rPr>
          <w:rFonts w:hint="default" w:hAnsi="宋体" w:cs="宋体"/>
          <w:szCs w:val="24"/>
          <w:highlight w:val="none"/>
          <w:lang w:val="en-US" w:eastAsia="zh-CN"/>
        </w:rPr>
        <w:t>柱温：30℃；</w:t>
      </w:r>
    </w:p>
    <w:p w14:paraId="43C98D4A">
      <w:pPr>
        <w:pStyle w:val="178"/>
        <w:numPr>
          <w:ilvl w:val="0"/>
          <w:numId w:val="36"/>
        </w:numPr>
        <w:rPr>
          <w:rFonts w:hint="default" w:hAnsi="宋体" w:cs="宋体"/>
          <w:szCs w:val="24"/>
          <w:highlight w:val="none"/>
          <w:lang w:val="en-US" w:eastAsia="zh-CN"/>
        </w:rPr>
      </w:pPr>
      <w:r>
        <w:rPr>
          <w:rFonts w:hint="default" w:hAnsi="宋体" w:cs="宋体"/>
          <w:szCs w:val="24"/>
          <w:highlight w:val="none"/>
          <w:lang w:val="en-US" w:eastAsia="zh-CN"/>
        </w:rPr>
        <w:t>进样体积：25</w:t>
      </w:r>
      <w:r>
        <w:rPr>
          <w:rFonts w:hint="default" w:ascii="Times New Roman" w:hAnsi="Times New Roman" w:cs="Times New Roman"/>
          <w:szCs w:val="24"/>
          <w:highlight w:val="none"/>
          <w:lang w:val="en-US" w:eastAsia="zh-CN"/>
        </w:rPr>
        <w:t xml:space="preserve"> </w:t>
      </w:r>
      <w:r>
        <w:rPr>
          <w:rFonts w:hint="eastAsia" w:hAnsi="宋体" w:cs="宋体"/>
          <w:szCs w:val="24"/>
          <w:highlight w:val="none"/>
          <w:lang w:val="en-US" w:eastAsia="zh-CN"/>
        </w:rPr>
        <w:t>μ</w:t>
      </w:r>
      <w:r>
        <w:rPr>
          <w:rFonts w:hint="default" w:hAnsi="宋体" w:cs="宋体"/>
          <w:szCs w:val="24"/>
          <w:highlight w:val="none"/>
          <w:lang w:val="en-US" w:eastAsia="zh-CN"/>
        </w:rPr>
        <w:t>L；</w:t>
      </w:r>
    </w:p>
    <w:p w14:paraId="3DA49052">
      <w:pPr>
        <w:pStyle w:val="178"/>
        <w:numPr>
          <w:ilvl w:val="0"/>
          <w:numId w:val="36"/>
        </w:numPr>
        <w:rPr>
          <w:rFonts w:hint="default" w:hAnsi="宋体" w:cs="宋体"/>
          <w:szCs w:val="24"/>
          <w:highlight w:val="none"/>
          <w:lang w:val="en-US" w:eastAsia="zh-CN"/>
        </w:rPr>
      </w:pPr>
      <w:r>
        <w:rPr>
          <w:rFonts w:hint="default" w:hAnsi="宋体" w:cs="宋体"/>
          <w:szCs w:val="24"/>
          <w:highlight w:val="none"/>
          <w:lang w:val="en-US" w:eastAsia="zh-CN"/>
        </w:rPr>
        <w:t>检测器：电导检测器，抑制器电流50</w:t>
      </w:r>
      <w:r>
        <w:rPr>
          <w:rFonts w:hint="default" w:ascii="Times New Roman" w:hAnsi="Times New Roman" w:cs="Times New Roman"/>
          <w:szCs w:val="24"/>
          <w:highlight w:val="none"/>
          <w:lang w:val="en-US" w:eastAsia="zh-CN"/>
        </w:rPr>
        <w:t xml:space="preserve"> </w:t>
      </w:r>
      <w:r>
        <w:rPr>
          <w:rFonts w:hint="default" w:hAnsi="宋体" w:cs="宋体"/>
          <w:szCs w:val="24"/>
          <w:highlight w:val="none"/>
          <w:lang w:val="en-US" w:eastAsia="zh-CN"/>
        </w:rPr>
        <w:t>mA～100</w:t>
      </w:r>
      <w:r>
        <w:rPr>
          <w:rFonts w:hint="default" w:ascii="Times New Roman" w:hAnsi="Times New Roman" w:cs="Times New Roman"/>
          <w:szCs w:val="24"/>
          <w:highlight w:val="none"/>
          <w:lang w:val="en-US" w:eastAsia="zh-CN"/>
        </w:rPr>
        <w:t xml:space="preserve"> </w:t>
      </w:r>
      <w:r>
        <w:rPr>
          <w:rFonts w:hint="default" w:hAnsi="宋体" w:cs="宋体"/>
          <w:szCs w:val="24"/>
          <w:highlight w:val="none"/>
          <w:lang w:val="en-US" w:eastAsia="zh-CN"/>
        </w:rPr>
        <w:t>mA。</w:t>
      </w:r>
    </w:p>
    <w:p w14:paraId="4AC1722B">
      <w:pPr>
        <w:pStyle w:val="183"/>
        <w:bidi w:val="0"/>
        <w:rPr>
          <w:rFonts w:hint="default"/>
          <w:lang w:val="en-US" w:eastAsia="zh-CN"/>
        </w:rPr>
      </w:pPr>
      <w:r>
        <w:rPr>
          <w:rFonts w:hint="default"/>
          <w:lang w:val="en-US" w:eastAsia="zh-CN"/>
        </w:rPr>
        <w:t>不同仪器型号和色谱柱可能存在差异</w:t>
      </w:r>
      <w:r>
        <w:rPr>
          <w:rFonts w:hint="eastAsia"/>
          <w:lang w:val="en-US" w:eastAsia="zh-CN"/>
        </w:rPr>
        <w:t>，</w:t>
      </w:r>
      <w:r>
        <w:rPr>
          <w:rFonts w:hint="default"/>
          <w:lang w:val="en-US" w:eastAsia="zh-CN"/>
        </w:rPr>
        <w:t>应通过标准溶液测试</w:t>
      </w:r>
      <w:r>
        <w:rPr>
          <w:rFonts w:hint="eastAsia"/>
          <w:lang w:val="en-US" w:eastAsia="zh-CN"/>
        </w:rPr>
        <w:t>，</w:t>
      </w:r>
      <w:r>
        <w:rPr>
          <w:rFonts w:hint="default"/>
          <w:lang w:val="en-US" w:eastAsia="zh-CN"/>
        </w:rPr>
        <w:t>确保氯离子和溴离子能有效分离</w:t>
      </w:r>
      <w:r>
        <w:rPr>
          <w:rFonts w:hint="eastAsia"/>
          <w:lang w:val="en-US" w:eastAsia="zh-CN"/>
        </w:rPr>
        <w:t>（</w:t>
      </w:r>
      <w:r>
        <w:rPr>
          <w:rFonts w:hint="default"/>
          <w:lang w:val="en-US" w:eastAsia="zh-CN"/>
        </w:rPr>
        <w:t>分离度R</w:t>
      </w:r>
      <w:r>
        <w:rPr>
          <w:rFonts w:hint="eastAsia"/>
          <w:lang w:val="en-US" w:eastAsia="zh-CN"/>
        </w:rPr>
        <w:t>≥</w:t>
      </w:r>
      <w:r>
        <w:rPr>
          <w:rFonts w:hint="default"/>
          <w:lang w:val="en-US" w:eastAsia="zh-CN"/>
        </w:rPr>
        <w:t>1.5</w:t>
      </w:r>
      <w:r>
        <w:rPr>
          <w:rFonts w:hint="eastAsia"/>
          <w:lang w:val="en-US" w:eastAsia="zh-CN"/>
        </w:rPr>
        <w:t>）</w:t>
      </w:r>
      <w:r>
        <w:rPr>
          <w:rFonts w:hint="default"/>
          <w:lang w:val="en-US" w:eastAsia="zh-CN"/>
        </w:rPr>
        <w:t>，且保留时间稳定。</w:t>
      </w:r>
    </w:p>
    <w:p w14:paraId="064AF4EF">
      <w:pPr>
        <w:pStyle w:val="98"/>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eastAsia" w:ascii="宋体" w:hAnsi="宋体" w:eastAsia="宋体" w:cs="宋体"/>
          <w:lang w:val="en-US" w:eastAsia="zh-CN"/>
        </w:rPr>
        <w:t>试验方法：</w:t>
      </w:r>
    </w:p>
    <w:p w14:paraId="03D9BFB8">
      <w:pPr>
        <w:pStyle w:val="178"/>
        <w:numPr>
          <w:ilvl w:val="0"/>
          <w:numId w:val="37"/>
        </w:numPr>
        <w:rPr>
          <w:rFonts w:hint="default" w:hAnsi="宋体" w:cs="宋体"/>
          <w:szCs w:val="24"/>
          <w:highlight w:val="none"/>
          <w:lang w:val="en-US" w:eastAsia="zh-CN"/>
        </w:rPr>
      </w:pPr>
      <w:r>
        <w:rPr>
          <w:rFonts w:hint="eastAsia" w:hAnsi="宋体" w:cs="宋体"/>
          <w:szCs w:val="24"/>
          <w:highlight w:val="none"/>
          <w:lang w:val="en-US" w:eastAsia="zh-CN"/>
        </w:rPr>
        <w:t>仪器准备：开启离子色谱仪，设置色谱条件，用淋洗液平衡系统至基线稳定；</w:t>
      </w:r>
    </w:p>
    <w:p w14:paraId="07EBAEF8">
      <w:pPr>
        <w:pStyle w:val="178"/>
        <w:numPr>
          <w:ilvl w:val="0"/>
          <w:numId w:val="37"/>
        </w:numPr>
        <w:rPr>
          <w:rFonts w:hint="default" w:hAnsi="宋体" w:cs="宋体"/>
          <w:szCs w:val="24"/>
          <w:highlight w:val="none"/>
          <w:lang w:val="en-US" w:eastAsia="zh-CN"/>
        </w:rPr>
      </w:pPr>
      <w:r>
        <w:rPr>
          <w:rFonts w:hint="eastAsia" w:hAnsi="宋体" w:cs="宋体"/>
          <w:szCs w:val="24"/>
          <w:highlight w:val="none"/>
          <w:lang w:val="en-US" w:eastAsia="zh-CN"/>
        </w:rPr>
        <w:t>标准溶液配制：分别配制Cl</w:t>
      </w:r>
      <w:r>
        <w:rPr>
          <w:rFonts w:hint="eastAsia" w:hAnsi="宋体" w:cs="宋体"/>
          <w:szCs w:val="24"/>
          <w:highlight w:val="none"/>
          <w:vertAlign w:val="superscript"/>
          <w:lang w:val="en-US" w:eastAsia="zh-CN"/>
        </w:rPr>
        <w:t>-</w:t>
      </w:r>
      <w:r>
        <w:rPr>
          <w:rFonts w:hint="eastAsia" w:hAnsi="宋体" w:cs="宋体"/>
          <w:szCs w:val="24"/>
          <w:highlight w:val="none"/>
          <w:lang w:val="en-US" w:eastAsia="zh-CN"/>
        </w:rPr>
        <w:t>和Br</w:t>
      </w:r>
      <w:r>
        <w:rPr>
          <w:rFonts w:hint="eastAsia" w:hAnsi="宋体" w:cs="宋体"/>
          <w:szCs w:val="24"/>
          <w:highlight w:val="none"/>
          <w:vertAlign w:val="superscript"/>
          <w:lang w:val="en-US" w:eastAsia="zh-CN"/>
        </w:rPr>
        <w:t>-</w:t>
      </w:r>
      <w:r>
        <w:rPr>
          <w:rFonts w:hint="eastAsia" w:hAnsi="宋体" w:cs="宋体"/>
          <w:szCs w:val="24"/>
          <w:highlight w:val="none"/>
          <w:lang w:val="en-US" w:eastAsia="zh-CN"/>
        </w:rPr>
        <w:t>标准储备液，配制混合标准系列；</w:t>
      </w:r>
    </w:p>
    <w:p w14:paraId="7340D24B">
      <w:pPr>
        <w:pStyle w:val="178"/>
        <w:numPr>
          <w:ilvl w:val="0"/>
          <w:numId w:val="37"/>
        </w:numPr>
        <w:rPr>
          <w:rFonts w:hint="default" w:hAnsi="宋体" w:cs="宋体"/>
          <w:szCs w:val="24"/>
          <w:highlight w:val="none"/>
          <w:lang w:val="en-US" w:eastAsia="zh-CN"/>
        </w:rPr>
      </w:pPr>
      <w:r>
        <w:rPr>
          <w:rFonts w:hint="eastAsia" w:hAnsi="宋体" w:cs="宋体"/>
          <w:szCs w:val="24"/>
          <w:highlight w:val="none"/>
          <w:lang w:val="en-US" w:eastAsia="zh-CN"/>
        </w:rPr>
        <w:t>样品前处理：水样过0.22</w:t>
      </w:r>
      <w:r>
        <w:rPr>
          <w:rFonts w:hint="default" w:ascii="Times New Roman" w:hAnsi="Times New Roman" w:cs="Times New Roman"/>
          <w:szCs w:val="24"/>
          <w:highlight w:val="none"/>
          <w:lang w:val="en-US" w:eastAsia="zh-CN"/>
        </w:rPr>
        <w:t xml:space="preserve"> </w:t>
      </w:r>
      <w:r>
        <w:rPr>
          <w:rFonts w:hint="eastAsia" w:hAnsi="宋体" w:cs="宋体"/>
          <w:szCs w:val="24"/>
          <w:highlight w:val="none"/>
          <w:lang w:val="en-US" w:eastAsia="zh-CN"/>
        </w:rPr>
        <w:t>μm滤膜，固体样品称取后用水提取，过滤或离心后取上清液过滤；</w:t>
      </w:r>
    </w:p>
    <w:p w14:paraId="6CA56CD6">
      <w:pPr>
        <w:pStyle w:val="178"/>
        <w:numPr>
          <w:ilvl w:val="0"/>
          <w:numId w:val="37"/>
        </w:numPr>
        <w:rPr>
          <w:rFonts w:hint="default" w:hAnsi="宋体" w:cs="宋体"/>
          <w:szCs w:val="24"/>
          <w:highlight w:val="none"/>
          <w:lang w:val="en-US" w:eastAsia="zh-CN"/>
        </w:rPr>
      </w:pPr>
      <w:r>
        <w:rPr>
          <w:rFonts w:hint="eastAsia" w:hAnsi="宋体" w:cs="宋体"/>
          <w:szCs w:val="24"/>
          <w:highlight w:val="none"/>
          <w:lang w:val="en-US" w:eastAsia="zh-CN"/>
        </w:rPr>
        <w:t>测定操作：依次进样标准系列溶液，记录Cl</w:t>
      </w:r>
      <w:r>
        <w:rPr>
          <w:rFonts w:hint="eastAsia" w:hAnsi="宋体" w:cs="宋体"/>
          <w:szCs w:val="24"/>
          <w:highlight w:val="none"/>
          <w:vertAlign w:val="superscript"/>
          <w:lang w:val="en-US" w:eastAsia="zh-CN"/>
        </w:rPr>
        <w:t>-</w:t>
      </w:r>
      <w:r>
        <w:rPr>
          <w:rFonts w:hint="eastAsia" w:hAnsi="宋体" w:cs="宋体"/>
          <w:szCs w:val="24"/>
          <w:highlight w:val="none"/>
          <w:lang w:val="en-US" w:eastAsia="zh-CN"/>
        </w:rPr>
        <w:t>和Br</w:t>
      </w:r>
      <w:r>
        <w:rPr>
          <w:rFonts w:hint="eastAsia" w:hAnsi="宋体" w:cs="宋体"/>
          <w:szCs w:val="24"/>
          <w:highlight w:val="none"/>
          <w:vertAlign w:val="superscript"/>
          <w:lang w:val="en-US" w:eastAsia="zh-CN"/>
        </w:rPr>
        <w:t>-</w:t>
      </w:r>
      <w:r>
        <w:rPr>
          <w:rFonts w:hint="eastAsia" w:hAnsi="宋体" w:cs="宋体"/>
          <w:szCs w:val="24"/>
          <w:highlight w:val="none"/>
          <w:lang w:val="en-US" w:eastAsia="zh-CN"/>
        </w:rPr>
        <w:t>峰面积，绘制标准曲线；进样样品溶液，记录Cl</w:t>
      </w:r>
      <w:r>
        <w:rPr>
          <w:rFonts w:hint="eastAsia" w:hAnsi="宋体" w:cs="宋体"/>
          <w:szCs w:val="24"/>
          <w:highlight w:val="none"/>
          <w:vertAlign w:val="superscript"/>
          <w:lang w:val="en-US" w:eastAsia="zh-CN"/>
        </w:rPr>
        <w:t>-</w:t>
      </w:r>
      <w:r>
        <w:rPr>
          <w:rFonts w:hint="eastAsia" w:hAnsi="宋体" w:cs="宋体"/>
          <w:szCs w:val="24"/>
          <w:highlight w:val="none"/>
          <w:lang w:val="en-US" w:eastAsia="zh-CN"/>
        </w:rPr>
        <w:t>和Br</w:t>
      </w:r>
      <w:r>
        <w:rPr>
          <w:rFonts w:hint="eastAsia" w:hAnsi="宋体" w:cs="宋体"/>
          <w:szCs w:val="24"/>
          <w:highlight w:val="none"/>
          <w:vertAlign w:val="superscript"/>
          <w:lang w:val="en-US" w:eastAsia="zh-CN"/>
        </w:rPr>
        <w:t>-</w:t>
      </w:r>
      <w:r>
        <w:rPr>
          <w:rFonts w:hint="eastAsia" w:hAnsi="宋体" w:cs="宋体"/>
          <w:szCs w:val="24"/>
          <w:highlight w:val="none"/>
          <w:lang w:val="en-US" w:eastAsia="zh-CN"/>
        </w:rPr>
        <w:t>峰面积；根据标准曲线计算总卤素含量（以Cl</w:t>
      </w:r>
      <w:r>
        <w:rPr>
          <w:rFonts w:hint="eastAsia" w:hAnsi="宋体" w:cs="宋体"/>
          <w:szCs w:val="24"/>
          <w:highlight w:val="none"/>
          <w:vertAlign w:val="superscript"/>
          <w:lang w:val="en-US" w:eastAsia="zh-CN"/>
        </w:rPr>
        <w:t>-</w:t>
      </w:r>
      <w:r>
        <w:rPr>
          <w:rFonts w:hint="eastAsia" w:hAnsi="宋体" w:cs="宋体"/>
          <w:szCs w:val="24"/>
          <w:highlight w:val="none"/>
          <w:lang w:val="en-US" w:eastAsia="zh-CN"/>
        </w:rPr>
        <w:t>计）。</w:t>
      </w:r>
    </w:p>
    <w:p w14:paraId="7C68C9DA">
      <w:pPr>
        <w:pStyle w:val="98"/>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eastAsia" w:ascii="宋体" w:hAnsi="宋体" w:eastAsia="宋体" w:cs="宋体"/>
          <w:lang w:val="en-US" w:eastAsia="zh-CN"/>
        </w:rPr>
        <w:t>结果判定：总卤素（以Cl</w:t>
      </w:r>
      <w:r>
        <w:rPr>
          <w:rFonts w:hint="eastAsia" w:ascii="宋体" w:hAnsi="宋体" w:eastAsia="宋体" w:cs="宋体"/>
          <w:vertAlign w:val="superscript"/>
          <w:lang w:val="en-US" w:eastAsia="zh-CN"/>
        </w:rPr>
        <w:t>-</w:t>
      </w:r>
      <w:r>
        <w:rPr>
          <w:rFonts w:hint="eastAsia" w:ascii="宋体" w:hAnsi="宋体" w:eastAsia="宋体" w:cs="宋体"/>
          <w:lang w:val="en-US" w:eastAsia="zh-CN"/>
        </w:rPr>
        <w:t>计）＝从标准曲线查得浓度×稀释倍数。</w:t>
      </w:r>
    </w:p>
    <w:p w14:paraId="0D0E17C1">
      <w:pPr>
        <w:pStyle w:val="69"/>
        <w:bidi w:val="0"/>
        <w:ind w:left="0" w:leftChars="0" w:firstLine="0" w:firstLineChars="0"/>
        <w:rPr>
          <w:rFonts w:hint="default"/>
          <w:lang w:val="en-US" w:eastAsia="zh-CN"/>
        </w:rPr>
      </w:pPr>
      <w:r>
        <w:rPr>
          <w:rFonts w:hint="eastAsia"/>
          <w:lang w:val="en-US" w:eastAsia="zh-CN"/>
        </w:rPr>
        <w:t>浊度法</w:t>
      </w:r>
    </w:p>
    <w:p w14:paraId="018EF539">
      <w:pPr>
        <w:pStyle w:val="98"/>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lang w:val="en-US" w:eastAsia="zh-CN"/>
        </w:rPr>
        <w:t>方法提要：样品经前处理去除其中碘后，氯离子在酸性条件下与银离子形成氯化银沉淀，形成的悬浊液与标准氯化物溶液生成的悬浊液进行目视比浊，通过比较判定样品中氯化物含量是否符合要求。</w:t>
      </w:r>
    </w:p>
    <w:p w14:paraId="16C82B7A">
      <w:pPr>
        <w:pStyle w:val="98"/>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试验方法：称取1</w:t>
      </w:r>
      <w:r>
        <w:rPr>
          <w:rFonts w:hint="default" w:ascii="Times New Roman" w:hAnsi="Times New Roman" w:eastAsia="宋体" w:cs="Times New Roman"/>
          <w:highlight w:val="none"/>
          <w:lang w:val="en-US" w:eastAsia="zh-CN"/>
        </w:rPr>
        <w:t xml:space="preserve"> </w:t>
      </w:r>
      <w:r>
        <w:rPr>
          <w:rFonts w:hint="eastAsia" w:ascii="宋体" w:hAnsi="宋体" w:eastAsia="宋体" w:cs="宋体"/>
          <w:highlight w:val="none"/>
          <w:lang w:val="en-US" w:eastAsia="zh-CN"/>
        </w:rPr>
        <w:t>g样品，溶于100</w:t>
      </w:r>
      <w:r>
        <w:rPr>
          <w:rFonts w:hint="eastAsia" w:ascii="Times New Roman" w:cs="Times New Roman"/>
          <w:szCs w:val="24"/>
          <w:highlight w:val="none"/>
          <w:lang w:val="en-US" w:eastAsia="zh-CN"/>
        </w:rPr>
        <w:t xml:space="preserve"> </w:t>
      </w:r>
      <w:r>
        <w:rPr>
          <w:rFonts w:hint="eastAsia" w:ascii="宋体" w:hAnsi="宋体" w:eastAsia="宋体" w:cs="宋体"/>
          <w:highlight w:val="none"/>
          <w:lang w:val="en-US" w:eastAsia="zh-CN"/>
        </w:rPr>
        <w:t>mL水中，加1</w:t>
      </w:r>
      <w:r>
        <w:rPr>
          <w:rFonts w:hint="eastAsia" w:ascii="Times New Roman" w:cs="Times New Roman"/>
          <w:szCs w:val="24"/>
          <w:highlight w:val="none"/>
          <w:lang w:val="en-US" w:eastAsia="zh-CN"/>
        </w:rPr>
        <w:t xml:space="preserve"> </w:t>
      </w:r>
      <w:r>
        <w:rPr>
          <w:rFonts w:hint="eastAsia" w:ascii="宋体" w:hAnsi="宋体" w:eastAsia="宋体" w:cs="宋体"/>
          <w:highlight w:val="none"/>
          <w:lang w:val="en-US" w:eastAsia="zh-CN"/>
        </w:rPr>
        <w:t>mL30%过氧化氢，煮沸至溶液无色冷却，加热至过氧化氢分解完全，冷却，稀释至100</w:t>
      </w:r>
      <w:r>
        <w:rPr>
          <w:rFonts w:hint="eastAsia" w:ascii="Times New Roman" w:cs="Times New Roman"/>
          <w:szCs w:val="24"/>
          <w:highlight w:val="none"/>
          <w:lang w:val="en-US" w:eastAsia="zh-CN"/>
        </w:rPr>
        <w:t xml:space="preserve"> </w:t>
      </w:r>
      <w:r>
        <w:rPr>
          <w:rFonts w:hint="eastAsia" w:ascii="宋体" w:hAnsi="宋体" w:eastAsia="宋体" w:cs="宋体"/>
          <w:highlight w:val="none"/>
          <w:lang w:val="en-US" w:eastAsia="zh-CN"/>
        </w:rPr>
        <w:t>m。取10</w:t>
      </w:r>
      <w:r>
        <w:rPr>
          <w:rFonts w:hint="eastAsia" w:ascii="Times New Roman" w:cs="Times New Roman"/>
          <w:szCs w:val="24"/>
          <w:highlight w:val="none"/>
          <w:lang w:val="en-US" w:eastAsia="zh-CN"/>
        </w:rPr>
        <w:t xml:space="preserve"> </w:t>
      </w:r>
      <w:r>
        <w:rPr>
          <w:rFonts w:hint="eastAsia" w:ascii="宋体" w:hAnsi="宋体" w:eastAsia="宋体" w:cs="宋体"/>
          <w:highlight w:val="none"/>
          <w:lang w:val="en-US" w:eastAsia="zh-CN"/>
        </w:rPr>
        <w:t>mL，稀释至20</w:t>
      </w:r>
      <w:r>
        <w:rPr>
          <w:rFonts w:hint="eastAsia" w:ascii="Times New Roman" w:cs="Times New Roman"/>
          <w:szCs w:val="24"/>
          <w:highlight w:val="none"/>
          <w:lang w:val="en-US" w:eastAsia="zh-CN"/>
        </w:rPr>
        <w:t xml:space="preserve"> </w:t>
      </w:r>
      <w:r>
        <w:rPr>
          <w:rFonts w:hint="eastAsia" w:ascii="宋体" w:hAnsi="宋体" w:eastAsia="宋体" w:cs="宋体"/>
          <w:highlight w:val="none"/>
          <w:lang w:val="en-US" w:eastAsia="zh-CN"/>
        </w:rPr>
        <w:t>mL后，按GB/T 9729的规定测定。溶液所呈浊度不得大于标准比浊溶液。</w:t>
      </w:r>
    </w:p>
    <w:p w14:paraId="2C52CDB5">
      <w:pPr>
        <w:pStyle w:val="98"/>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标准比浊溶液的制备是取含下列数量的氯化物标准溶液：</w:t>
      </w:r>
    </w:p>
    <w:p w14:paraId="5141988A">
      <w:pPr>
        <w:pStyle w:val="178"/>
        <w:numPr>
          <w:ilvl w:val="0"/>
          <w:numId w:val="38"/>
        </w:numPr>
        <w:rPr>
          <w:rFonts w:hint="default" w:hAnsi="宋体" w:cs="宋体"/>
          <w:szCs w:val="24"/>
          <w:highlight w:val="none"/>
          <w:lang w:val="en-US" w:eastAsia="zh-CN"/>
        </w:rPr>
      </w:pPr>
      <w:r>
        <w:rPr>
          <w:rFonts w:hint="default" w:hAnsi="宋体" w:cs="宋体"/>
          <w:szCs w:val="24"/>
          <w:highlight w:val="none"/>
          <w:lang w:val="en-US" w:eastAsia="zh-CN"/>
        </w:rPr>
        <w:t>一级</w:t>
      </w:r>
      <w:r>
        <w:rPr>
          <w:rFonts w:hint="eastAsia" w:hAnsi="宋体" w:cs="宋体"/>
          <w:szCs w:val="24"/>
          <w:highlight w:val="none"/>
          <w:lang w:val="en-US" w:eastAsia="zh-CN"/>
        </w:rPr>
        <w:t>为</w:t>
      </w:r>
      <w:r>
        <w:rPr>
          <w:rFonts w:hint="default" w:hAnsi="宋体" w:cs="宋体"/>
          <w:szCs w:val="24"/>
          <w:highlight w:val="none"/>
          <w:lang w:val="en-US" w:eastAsia="zh-CN"/>
        </w:rPr>
        <w:t>0.005 mg Cl⁻；</w:t>
      </w:r>
      <w:r>
        <w:rPr>
          <w:rFonts w:hint="default" w:hAnsi="宋体" w:cs="宋体"/>
          <w:szCs w:val="24"/>
          <w:highlight w:val="none"/>
          <w:lang w:val="en-US" w:eastAsia="zh-CN"/>
        </w:rPr>
        <w:tab/>
      </w:r>
    </w:p>
    <w:p w14:paraId="0A02F420">
      <w:pPr>
        <w:pStyle w:val="178"/>
        <w:numPr>
          <w:ilvl w:val="0"/>
          <w:numId w:val="38"/>
        </w:numPr>
        <w:rPr>
          <w:rFonts w:hint="default" w:hAnsi="宋体" w:cs="宋体"/>
          <w:szCs w:val="24"/>
          <w:highlight w:val="none"/>
          <w:lang w:val="en-US" w:eastAsia="zh-CN"/>
        </w:rPr>
      </w:pPr>
      <w:r>
        <w:rPr>
          <w:rFonts w:hint="default" w:hAnsi="宋体" w:cs="宋体"/>
          <w:szCs w:val="24"/>
          <w:highlight w:val="none"/>
          <w:lang w:val="en-US" w:eastAsia="zh-CN"/>
        </w:rPr>
        <w:t>二级</w:t>
      </w:r>
      <w:r>
        <w:rPr>
          <w:rFonts w:hint="eastAsia" w:hAnsi="宋体" w:cs="宋体"/>
          <w:szCs w:val="24"/>
          <w:highlight w:val="none"/>
          <w:lang w:val="en-US" w:eastAsia="zh-CN"/>
        </w:rPr>
        <w:t>为</w:t>
      </w:r>
      <w:r>
        <w:rPr>
          <w:rFonts w:hint="default" w:hAnsi="宋体" w:cs="宋体"/>
          <w:szCs w:val="24"/>
          <w:highlight w:val="none"/>
          <w:lang w:val="en-US" w:eastAsia="zh-CN"/>
        </w:rPr>
        <w:t>0.01 mg Cl⁻；</w:t>
      </w:r>
      <w:r>
        <w:rPr>
          <w:rFonts w:hint="default" w:hAnsi="宋体" w:cs="宋体"/>
          <w:szCs w:val="24"/>
          <w:highlight w:val="none"/>
          <w:lang w:val="en-US" w:eastAsia="zh-CN"/>
        </w:rPr>
        <w:tab/>
      </w:r>
    </w:p>
    <w:p w14:paraId="1183DDE4">
      <w:pPr>
        <w:pStyle w:val="178"/>
        <w:numPr>
          <w:ilvl w:val="0"/>
          <w:numId w:val="38"/>
        </w:numPr>
        <w:rPr>
          <w:rFonts w:hint="default" w:hAnsi="宋体" w:cs="宋体"/>
          <w:szCs w:val="24"/>
          <w:highlight w:val="none"/>
          <w:lang w:val="en-US" w:eastAsia="zh-CN"/>
        </w:rPr>
      </w:pPr>
      <w:r>
        <w:rPr>
          <w:rFonts w:hint="default" w:hAnsi="宋体" w:cs="宋体"/>
          <w:szCs w:val="24"/>
          <w:highlight w:val="none"/>
          <w:lang w:val="en-US" w:eastAsia="zh-CN"/>
        </w:rPr>
        <w:t>三级</w:t>
      </w:r>
      <w:r>
        <w:rPr>
          <w:rFonts w:hint="eastAsia" w:hAnsi="宋体" w:cs="宋体"/>
          <w:szCs w:val="24"/>
          <w:highlight w:val="none"/>
          <w:lang w:val="en-US" w:eastAsia="zh-CN"/>
        </w:rPr>
        <w:t>为</w:t>
      </w:r>
      <w:r>
        <w:rPr>
          <w:rFonts w:hint="default" w:hAnsi="宋体" w:cs="宋体"/>
          <w:szCs w:val="24"/>
          <w:highlight w:val="none"/>
          <w:lang w:val="en-US" w:eastAsia="zh-CN"/>
        </w:rPr>
        <w:t>0.02 mg Cl⁻</w:t>
      </w:r>
      <w:r>
        <w:rPr>
          <w:rFonts w:hint="eastAsia" w:hAnsi="宋体" w:cs="宋体"/>
          <w:szCs w:val="24"/>
          <w:highlight w:val="none"/>
          <w:lang w:val="en-US" w:eastAsia="zh-CN"/>
        </w:rPr>
        <w:t>。</w:t>
      </w:r>
      <w:r>
        <w:rPr>
          <w:rFonts w:hint="default" w:hAnsi="宋体" w:cs="宋体"/>
          <w:szCs w:val="24"/>
          <w:highlight w:val="none"/>
          <w:lang w:val="en-US" w:eastAsia="zh-CN"/>
        </w:rPr>
        <w:tab/>
      </w:r>
    </w:p>
    <w:p w14:paraId="7A63BADB">
      <w:pPr>
        <w:pStyle w:val="60"/>
        <w:rPr>
          <w:rFonts w:hint="default" w:hAnsi="宋体" w:cs="宋体"/>
          <w:highlight w:val="none"/>
          <w:lang w:val="en-US" w:eastAsia="zh-CN"/>
        </w:rPr>
      </w:pPr>
      <w:r>
        <w:rPr>
          <w:rFonts w:hint="default" w:hAnsi="宋体" w:cs="宋体"/>
          <w:highlight w:val="none"/>
          <w:lang w:val="en-US" w:eastAsia="zh-CN"/>
        </w:rPr>
        <w:t>稀释至20</w:t>
      </w:r>
      <w:r>
        <w:rPr>
          <w:rFonts w:hint="eastAsia" w:ascii="Times New Roman" w:cs="Times New Roman"/>
          <w:szCs w:val="24"/>
          <w:highlight w:val="none"/>
          <w:lang w:val="en-US" w:eastAsia="zh-CN"/>
        </w:rPr>
        <w:t xml:space="preserve"> </w:t>
      </w:r>
      <w:r>
        <w:rPr>
          <w:rFonts w:hint="default" w:hAnsi="宋体" w:cs="宋体"/>
          <w:highlight w:val="none"/>
          <w:lang w:val="en-US" w:eastAsia="zh-CN"/>
        </w:rPr>
        <w:t>ml，与同体积试液同时同样处理。</w:t>
      </w:r>
    </w:p>
    <w:p w14:paraId="58F06FCB">
      <w:pPr>
        <w:pStyle w:val="109"/>
        <w:spacing w:before="120" w:after="120"/>
        <w:rPr>
          <w:rFonts w:hint="default" w:hAnsi="Times New Roman" w:cs="Times New Roman"/>
          <w:szCs w:val="24"/>
          <w:highlight w:val="none"/>
          <w:lang w:val="en-US" w:eastAsia="zh-CN"/>
        </w:rPr>
      </w:pPr>
      <w:bookmarkStart w:id="74" w:name="_Toc17220"/>
      <w:r>
        <w:rPr>
          <w:rFonts w:hint="default" w:hAnsi="Times New Roman" w:cs="Times New Roman"/>
          <w:szCs w:val="24"/>
          <w:highlight w:val="none"/>
          <w:lang w:val="en-US" w:eastAsia="zh-CN"/>
        </w:rPr>
        <w:t>硫酸盐</w:t>
      </w:r>
      <w:r>
        <w:rPr>
          <w:rFonts w:hint="eastAsia" w:hAnsi="Times New Roman" w:cs="Times New Roman"/>
          <w:szCs w:val="24"/>
          <w:highlight w:val="none"/>
          <w:lang w:val="en-US" w:eastAsia="zh-CN"/>
        </w:rPr>
        <w:t>含量的测定</w:t>
      </w:r>
      <w:bookmarkEnd w:id="74"/>
    </w:p>
    <w:p w14:paraId="1397A578">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方法提要：样品经前处理去除其中碘后，硫酸根离子在酸性条件下与钡离子形成硫酸钡沉淀，形成的悬浊液与标准硫酸盐溶液生成的悬浊液进行目视比浊，通过比较判定样品中硫酸盐含量是否符合要求。</w:t>
      </w:r>
    </w:p>
    <w:p w14:paraId="29B15E1E">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试验方法：</w:t>
      </w:r>
      <w:r>
        <w:rPr>
          <w:rFonts w:hint="default" w:ascii="宋体" w:hAnsi="宋体" w:eastAsia="宋体" w:cs="宋体"/>
          <w:highlight w:val="none"/>
          <w:lang w:val="en-US" w:eastAsia="zh-CN"/>
        </w:rPr>
        <w:t>称取0.5</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g</w:t>
      </w:r>
      <w:r>
        <w:rPr>
          <w:rFonts w:hint="default" w:ascii="宋体" w:hAnsi="宋体" w:eastAsia="宋体" w:cs="宋体"/>
          <w:highlight w:val="none"/>
          <w:lang w:val="en-US" w:eastAsia="zh-CN"/>
        </w:rPr>
        <w:t>样品，溶于20</w:t>
      </w:r>
      <w:r>
        <w:rPr>
          <w:rFonts w:hint="eastAsia" w:ascii="Times New Roman" w:cs="Times New Roman"/>
          <w:szCs w:val="24"/>
          <w:highlight w:val="none"/>
          <w:lang w:val="en-US" w:eastAsia="zh-CN"/>
        </w:rPr>
        <w:t xml:space="preserve"> </w:t>
      </w:r>
      <w:r>
        <w:rPr>
          <w:rFonts w:hint="default" w:ascii="宋体" w:hAnsi="宋体" w:eastAsia="宋体" w:cs="宋体"/>
          <w:highlight w:val="none"/>
          <w:lang w:val="en-US" w:eastAsia="zh-CN"/>
        </w:rPr>
        <w:t>mL水中，按GB/T 9728的规定测定。溶液所呈浊度不得大于标准比浊溶液。</w:t>
      </w:r>
    </w:p>
    <w:p w14:paraId="602CB408">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标准比浊溶液的制备是取含下列数量的</w:t>
      </w:r>
      <w:r>
        <w:rPr>
          <w:rFonts w:hint="eastAsia" w:ascii="宋体" w:hAnsi="宋体" w:eastAsia="宋体" w:cs="宋体"/>
          <w:highlight w:val="none"/>
          <w:lang w:val="en-US" w:eastAsia="zh-CN"/>
        </w:rPr>
        <w:t>硫酸盐</w:t>
      </w:r>
      <w:r>
        <w:rPr>
          <w:rFonts w:hint="default" w:ascii="宋体" w:hAnsi="宋体" w:eastAsia="宋体" w:cs="宋体"/>
          <w:highlight w:val="none"/>
          <w:lang w:val="en-US" w:eastAsia="zh-CN"/>
        </w:rPr>
        <w:t>标准溶液</w:t>
      </w:r>
      <w:r>
        <w:rPr>
          <w:rFonts w:hint="eastAsia" w:ascii="宋体" w:hAnsi="宋体" w:eastAsia="宋体" w:cs="宋体"/>
          <w:highlight w:val="none"/>
          <w:lang w:val="en-US" w:eastAsia="zh-CN"/>
        </w:rPr>
        <w:t>：</w:t>
      </w:r>
    </w:p>
    <w:p w14:paraId="5E4A9B5A">
      <w:pPr>
        <w:pStyle w:val="178"/>
        <w:numPr>
          <w:ilvl w:val="0"/>
          <w:numId w:val="39"/>
        </w:numPr>
        <w:rPr>
          <w:rFonts w:hint="default" w:hAnsi="宋体" w:cs="宋体"/>
          <w:szCs w:val="24"/>
          <w:highlight w:val="none"/>
          <w:lang w:val="en-US" w:eastAsia="zh-CN"/>
        </w:rPr>
      </w:pPr>
      <w:r>
        <w:rPr>
          <w:rFonts w:hint="eastAsia" w:hAnsi="宋体" w:cs="宋体"/>
          <w:szCs w:val="24"/>
          <w:highlight w:val="none"/>
          <w:lang w:val="en-US" w:eastAsia="zh-CN"/>
        </w:rPr>
        <w:t>一级为</w:t>
      </w:r>
      <w:r>
        <w:rPr>
          <w:rFonts w:hint="default" w:hAnsi="宋体" w:cs="宋体"/>
          <w:szCs w:val="24"/>
          <w:highlight w:val="none"/>
          <w:lang w:val="en-US" w:eastAsia="zh-CN"/>
        </w:rPr>
        <w:t>0.0</w:t>
      </w:r>
      <w:r>
        <w:rPr>
          <w:rFonts w:hint="eastAsia" w:hAnsi="宋体" w:cs="宋体"/>
          <w:szCs w:val="24"/>
          <w:highlight w:val="none"/>
          <w:lang w:val="en-US" w:eastAsia="zh-CN"/>
        </w:rPr>
        <w:t>2</w:t>
      </w:r>
      <w:r>
        <w:rPr>
          <w:rFonts w:hint="default" w:ascii="Times New Roman" w:hAnsi="Times New Roman" w:cs="Times New Roman"/>
          <w:szCs w:val="24"/>
          <w:highlight w:val="none"/>
          <w:lang w:val="en-US" w:eastAsia="zh-CN"/>
        </w:rPr>
        <w:t xml:space="preserve"> </w:t>
      </w:r>
      <w:r>
        <w:rPr>
          <w:rFonts w:hint="default" w:hAnsi="宋体" w:cs="宋体"/>
          <w:szCs w:val="24"/>
          <w:highlight w:val="none"/>
          <w:lang w:val="en-US" w:eastAsia="zh-CN"/>
        </w:rPr>
        <w:t>mg</w:t>
      </w:r>
      <w:r>
        <w:rPr>
          <w:rFonts w:hint="eastAsia" w:hAnsi="宋体" w:cs="宋体"/>
          <w:szCs w:val="24"/>
          <w:highlight w:val="none"/>
          <w:lang w:val="en-US" w:eastAsia="zh-CN"/>
        </w:rPr>
        <w:t>SO</w:t>
      </w:r>
      <w:r>
        <w:rPr>
          <w:rFonts w:hint="eastAsia" w:hAnsi="宋体" w:cs="宋体"/>
          <w:szCs w:val="24"/>
          <w:highlight w:val="none"/>
          <w:vertAlign w:val="subscript"/>
          <w:lang w:val="en-US" w:eastAsia="zh-CN"/>
        </w:rPr>
        <w:t>4</w:t>
      </w:r>
      <w:r>
        <w:rPr>
          <w:rFonts w:hint="eastAsia" w:hAnsi="宋体" w:cs="宋体"/>
          <w:szCs w:val="24"/>
          <w:highlight w:val="none"/>
          <w:vertAlign w:val="superscript"/>
          <w:lang w:val="en-US" w:eastAsia="zh-CN"/>
        </w:rPr>
        <w:t>2-</w:t>
      </w:r>
      <w:r>
        <w:rPr>
          <w:rFonts w:hint="eastAsia" w:hAnsi="宋体" w:cs="宋体"/>
          <w:szCs w:val="24"/>
          <w:highlight w:val="none"/>
          <w:lang w:val="en-US" w:eastAsia="zh-CN"/>
        </w:rPr>
        <w:t>；</w:t>
      </w:r>
      <w:r>
        <w:rPr>
          <w:rFonts w:hint="default" w:hAnsi="宋体" w:cs="宋体"/>
          <w:szCs w:val="24"/>
          <w:highlight w:val="none"/>
          <w:lang w:val="en-US" w:eastAsia="zh-CN"/>
        </w:rPr>
        <w:tab/>
      </w:r>
    </w:p>
    <w:p w14:paraId="35F7A162">
      <w:pPr>
        <w:pStyle w:val="178"/>
        <w:numPr>
          <w:ilvl w:val="0"/>
          <w:numId w:val="39"/>
        </w:numPr>
        <w:rPr>
          <w:rFonts w:hint="default" w:hAnsi="宋体" w:cs="宋体"/>
          <w:szCs w:val="24"/>
          <w:highlight w:val="none"/>
          <w:lang w:val="en-US" w:eastAsia="zh-CN"/>
        </w:rPr>
      </w:pPr>
      <w:r>
        <w:rPr>
          <w:rFonts w:hint="eastAsia" w:hAnsi="宋体" w:cs="宋体"/>
          <w:szCs w:val="24"/>
          <w:highlight w:val="none"/>
          <w:lang w:val="en-US" w:eastAsia="zh-CN"/>
        </w:rPr>
        <w:t>二级为</w:t>
      </w:r>
      <w:r>
        <w:rPr>
          <w:rFonts w:hint="default" w:hAnsi="宋体" w:cs="宋体"/>
          <w:szCs w:val="24"/>
          <w:highlight w:val="none"/>
          <w:lang w:val="en-US" w:eastAsia="zh-CN"/>
        </w:rPr>
        <w:t>0.0</w:t>
      </w:r>
      <w:r>
        <w:rPr>
          <w:rFonts w:hint="eastAsia" w:hAnsi="宋体" w:cs="宋体"/>
          <w:szCs w:val="24"/>
          <w:highlight w:val="none"/>
          <w:lang w:val="en-US" w:eastAsia="zh-CN"/>
        </w:rPr>
        <w:t>4</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g</w:t>
      </w:r>
      <w:r>
        <w:rPr>
          <w:rFonts w:hint="default" w:hAnsi="宋体" w:cs="宋体"/>
          <w:szCs w:val="24"/>
          <w:highlight w:val="none"/>
          <w:lang w:val="en-US" w:eastAsia="zh-CN"/>
        </w:rPr>
        <w:t>mg</w:t>
      </w:r>
      <w:r>
        <w:rPr>
          <w:rFonts w:hint="eastAsia" w:hAnsi="宋体" w:cs="宋体"/>
          <w:szCs w:val="24"/>
          <w:highlight w:val="none"/>
          <w:lang w:val="en-US" w:eastAsia="zh-CN"/>
        </w:rPr>
        <w:t>SO</w:t>
      </w:r>
      <w:r>
        <w:rPr>
          <w:rFonts w:hint="eastAsia" w:hAnsi="宋体" w:cs="宋体"/>
          <w:szCs w:val="24"/>
          <w:highlight w:val="none"/>
          <w:vertAlign w:val="subscript"/>
          <w:lang w:val="en-US" w:eastAsia="zh-CN"/>
        </w:rPr>
        <w:t>4</w:t>
      </w:r>
      <w:r>
        <w:rPr>
          <w:rFonts w:hint="eastAsia" w:hAnsi="宋体" w:cs="宋体"/>
          <w:szCs w:val="24"/>
          <w:highlight w:val="none"/>
          <w:vertAlign w:val="superscript"/>
          <w:lang w:val="en-US" w:eastAsia="zh-CN"/>
        </w:rPr>
        <w:t>2</w:t>
      </w:r>
      <w:r>
        <w:rPr>
          <w:rFonts w:hint="eastAsia" w:hAnsi="宋体" w:cs="宋体"/>
          <w:szCs w:val="24"/>
          <w:highlight w:val="none"/>
          <w:lang w:val="en-US" w:eastAsia="zh-CN"/>
        </w:rPr>
        <w:t>-；</w:t>
      </w:r>
      <w:r>
        <w:rPr>
          <w:rFonts w:hint="default" w:hAnsi="宋体" w:cs="宋体"/>
          <w:szCs w:val="24"/>
          <w:highlight w:val="none"/>
          <w:lang w:val="en-US" w:eastAsia="zh-CN"/>
        </w:rPr>
        <w:tab/>
      </w:r>
    </w:p>
    <w:p w14:paraId="2B31221F">
      <w:pPr>
        <w:pStyle w:val="178"/>
        <w:numPr>
          <w:ilvl w:val="0"/>
          <w:numId w:val="39"/>
        </w:numPr>
        <w:rPr>
          <w:rFonts w:hint="default" w:hAnsi="宋体" w:cs="宋体"/>
          <w:szCs w:val="24"/>
          <w:highlight w:val="none"/>
          <w:lang w:val="en-US" w:eastAsia="zh-CN"/>
        </w:rPr>
      </w:pPr>
      <w:r>
        <w:rPr>
          <w:rFonts w:hint="eastAsia" w:hAnsi="宋体" w:cs="宋体"/>
          <w:szCs w:val="24"/>
          <w:highlight w:val="none"/>
          <w:lang w:val="en-US" w:eastAsia="zh-CN"/>
        </w:rPr>
        <w:t>三级为</w:t>
      </w:r>
      <w:r>
        <w:rPr>
          <w:rFonts w:hint="default" w:hAnsi="宋体" w:cs="宋体"/>
          <w:szCs w:val="24"/>
          <w:highlight w:val="none"/>
          <w:lang w:val="en-US" w:eastAsia="zh-CN"/>
        </w:rPr>
        <w:t>0.0</w:t>
      </w:r>
      <w:r>
        <w:rPr>
          <w:rFonts w:hint="eastAsia" w:hAnsi="宋体" w:cs="宋体"/>
          <w:szCs w:val="24"/>
          <w:highlight w:val="none"/>
          <w:lang w:val="en-US" w:eastAsia="zh-CN"/>
        </w:rPr>
        <w:t>6</w:t>
      </w:r>
      <w:r>
        <w:rPr>
          <w:rFonts w:hint="default" w:ascii="Times New Roman" w:hAnsi="Times New Roman" w:cs="Times New Roman"/>
          <w:szCs w:val="24"/>
          <w:highlight w:val="none"/>
          <w:lang w:val="en-US" w:eastAsia="zh-CN"/>
        </w:rPr>
        <w:t xml:space="preserve"> </w:t>
      </w:r>
      <w:r>
        <w:rPr>
          <w:rFonts w:hint="eastAsia" w:ascii="宋体" w:hAnsi="宋体" w:eastAsia="宋体" w:cs="宋体"/>
          <w:kern w:val="0"/>
          <w:sz w:val="21"/>
          <w:szCs w:val="20"/>
          <w:highlight w:val="none"/>
          <w:lang w:val="en-US" w:eastAsia="zh-CN" w:bidi="ar-SA"/>
        </w:rPr>
        <w:t>g</w:t>
      </w:r>
      <w:r>
        <w:rPr>
          <w:rFonts w:hint="default" w:hAnsi="宋体" w:cs="宋体"/>
          <w:szCs w:val="24"/>
          <w:highlight w:val="none"/>
          <w:lang w:val="en-US" w:eastAsia="zh-CN"/>
        </w:rPr>
        <w:t>mg</w:t>
      </w:r>
      <w:r>
        <w:rPr>
          <w:rFonts w:hint="eastAsia" w:hAnsi="宋体" w:cs="宋体"/>
          <w:szCs w:val="24"/>
          <w:highlight w:val="none"/>
          <w:lang w:val="en-US" w:eastAsia="zh-CN"/>
        </w:rPr>
        <w:t>SO</w:t>
      </w:r>
      <w:r>
        <w:rPr>
          <w:rFonts w:hint="eastAsia" w:hAnsi="宋体" w:cs="宋体"/>
          <w:szCs w:val="24"/>
          <w:highlight w:val="none"/>
          <w:vertAlign w:val="subscript"/>
          <w:lang w:val="en-US" w:eastAsia="zh-CN"/>
        </w:rPr>
        <w:t>4</w:t>
      </w:r>
      <w:r>
        <w:rPr>
          <w:rFonts w:hint="eastAsia" w:hAnsi="宋体" w:cs="宋体"/>
          <w:szCs w:val="24"/>
          <w:highlight w:val="none"/>
          <w:vertAlign w:val="superscript"/>
          <w:lang w:val="en-US" w:eastAsia="zh-CN"/>
        </w:rPr>
        <w:t>2-</w:t>
      </w:r>
      <w:r>
        <w:rPr>
          <w:rFonts w:hint="eastAsia" w:hAnsi="宋体" w:cs="宋体"/>
          <w:szCs w:val="24"/>
          <w:highlight w:val="none"/>
          <w:lang w:val="en-US" w:eastAsia="zh-CN"/>
        </w:rPr>
        <w:t>。</w:t>
      </w:r>
    </w:p>
    <w:p w14:paraId="1514E10D">
      <w:pPr>
        <w:pStyle w:val="109"/>
        <w:spacing w:before="120" w:after="120"/>
        <w:rPr>
          <w:rFonts w:hint="default"/>
          <w:highlight w:val="none"/>
          <w:lang w:val="en-US" w:eastAsia="zh-CN"/>
        </w:rPr>
      </w:pPr>
      <w:bookmarkStart w:id="75" w:name="_Toc22024"/>
      <w:r>
        <w:rPr>
          <w:rFonts w:hint="eastAsia" w:hAnsi="Times New Roman" w:cs="Times New Roman"/>
          <w:szCs w:val="24"/>
          <w:highlight w:val="none"/>
          <w:lang w:val="en-US" w:eastAsia="zh-CN"/>
        </w:rPr>
        <w:t>不挥发物的测定</w:t>
      </w:r>
      <w:bookmarkEnd w:id="75"/>
    </w:p>
    <w:p w14:paraId="29185845">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方法提要：在水浴上加热使碘挥发，并在105℃干燥至恒重。</w:t>
      </w:r>
    </w:p>
    <w:p w14:paraId="711116D4">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试验方法：准确称取1 g～2 g样品，置于已在105℃下恒重的洁净蒸发皿中。将蒸发皿置于水浴锅上，缓缓加热至样品中碘完全挥发（避免暴沸或飞溅）。待水浴蒸发完成后，将蒸发皿移入干燥箱中，在105℃±2℃条件下干燥至恒重，取出冷却后称量，记录质量变化。</w:t>
      </w:r>
    </w:p>
    <w:p w14:paraId="78270EAA">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计算：应按照公式（2）进行计算：</w:t>
      </w:r>
    </w:p>
    <w:p w14:paraId="2599F39E">
      <w:pPr>
        <w:pStyle w:val="60"/>
        <w:jc w:val="right"/>
        <w:rPr>
          <w:rFonts w:hint="eastAsia" w:ascii="宋体" w:hAnsi="宋体" w:eastAsia="宋体" w:cs="宋体"/>
          <w:highlight w:val="none"/>
        </w:rPr>
      </w:pPr>
      <m:oMath>
        <m:sSub>
          <m:sSubPr>
            <m:ctrlPr>
              <w:rPr>
                <w:rFonts w:ascii="Cambria Math" w:hAnsi="Cambria Math"/>
                <w:i/>
                <w:highlight w:val="none"/>
                <w:lang w:val="en-US"/>
              </w:rPr>
            </m:ctrlPr>
          </m:sSubPr>
          <m:e>
            <m:r>
              <m:rPr/>
              <w:rPr>
                <w:rFonts w:hint="default" w:ascii="Cambria Math" w:hAnsi="Cambria Math"/>
                <w:highlight w:val="none"/>
                <w:lang w:val="en-US" w:eastAsia="zh-CN"/>
              </w:rPr>
              <m:t>X</m:t>
            </m:r>
            <m:ctrlPr>
              <w:rPr>
                <w:rFonts w:ascii="Cambria Math" w:hAnsi="Cambria Math"/>
                <w:i/>
                <w:highlight w:val="none"/>
                <w:lang w:val="en-US"/>
              </w:rPr>
            </m:ctrlPr>
          </m:e>
          <m:sub>
            <m:r>
              <m:rPr/>
              <w:rPr>
                <w:rFonts w:hint="default" w:ascii="Cambria Math" w:hAnsi="Cambria Math"/>
                <w:highlight w:val="none"/>
                <w:lang w:val="en-US" w:eastAsia="zh-CN"/>
              </w:rPr>
              <m:t>2</m:t>
            </m:r>
            <m:ctrlPr>
              <w:rPr>
                <w:rFonts w:ascii="Cambria Math" w:hAnsi="Cambria Math"/>
                <w:i/>
                <w:highlight w:val="none"/>
                <w:lang w:val="en-US"/>
              </w:rPr>
            </m:ctrlPr>
          </m:sub>
        </m:sSub>
        <m:r>
          <m:rPr/>
          <w:rPr>
            <w:rFonts w:hint="default" w:ascii="Cambria Math" w:hAnsi="Cambria Math"/>
            <w:highlight w:val="none"/>
            <w:lang w:val="en-US" w:eastAsia="zh-CN"/>
          </w:rPr>
          <m:t>=</m:t>
        </m:r>
        <m:f>
          <m:fPr>
            <m:ctrlPr>
              <w:rPr>
                <w:rFonts w:hint="default" w:ascii="Cambria Math" w:hAnsi="Cambria Math"/>
                <w:i/>
                <w:highlight w:val="none"/>
                <w:lang w:val="en-US" w:eastAsia="zh-CN"/>
              </w:rPr>
            </m:ctrlPr>
          </m:fPr>
          <m:num>
            <m:sSub>
              <m:sSubPr>
                <m:ctrlPr>
                  <w:rPr>
                    <w:rFonts w:hint="default" w:ascii="Cambria Math" w:hAnsi="Cambria Math"/>
                    <w:i/>
                    <w:highlight w:val="none"/>
                    <w:lang w:val="en-US" w:eastAsia="zh-CN"/>
                  </w:rPr>
                </m:ctrlPr>
              </m:sSubPr>
              <m:e>
                <m:r>
                  <m:rPr/>
                  <w:rPr>
                    <w:rFonts w:hint="default" w:ascii="Cambria Math" w:hAnsi="Cambria Math"/>
                    <w:highlight w:val="none"/>
                    <w:lang w:val="en-US" w:eastAsia="zh-CN"/>
                  </w:rPr>
                  <m:t>m</m:t>
                </m:r>
                <m:ctrlPr>
                  <w:rPr>
                    <w:rFonts w:hint="default" w:ascii="Cambria Math" w:hAnsi="Cambria Math"/>
                    <w:i/>
                    <w:highlight w:val="none"/>
                    <w:lang w:val="en-US" w:eastAsia="zh-CN"/>
                  </w:rPr>
                </m:ctrlPr>
              </m:e>
              <m:sub>
                <m:r>
                  <m:rPr/>
                  <w:rPr>
                    <w:rFonts w:hint="default" w:ascii="Cambria Math" w:hAnsi="Cambria Math"/>
                    <w:highlight w:val="none"/>
                    <w:lang w:val="en-US" w:eastAsia="zh-CN"/>
                  </w:rPr>
                  <m:t>1</m:t>
                </m:r>
                <m:ctrlPr>
                  <w:rPr>
                    <w:rFonts w:hint="default" w:ascii="Cambria Math" w:hAnsi="Cambria Math"/>
                    <w:i/>
                    <w:highlight w:val="none"/>
                    <w:lang w:val="en-US" w:eastAsia="zh-CN"/>
                  </w:rPr>
                </m:ctrlPr>
              </m:sub>
            </m:sSub>
            <m:r>
              <m:rPr/>
              <w:rPr>
                <w:rFonts w:hint="default" w:ascii="Cambria Math" w:hAnsi="Cambria Math"/>
                <w:highlight w:val="none"/>
                <w:lang w:val="en-US" w:eastAsia="zh-CN"/>
              </w:rPr>
              <m:t>−</m:t>
            </m:r>
            <m:sSub>
              <m:sSubPr>
                <m:ctrlPr>
                  <w:rPr>
                    <w:rFonts w:hint="default" w:ascii="Cambria Math" w:hAnsi="Cambria Math"/>
                    <w:i/>
                    <w:highlight w:val="none"/>
                    <w:lang w:val="en-US" w:eastAsia="zh-CN"/>
                  </w:rPr>
                </m:ctrlPr>
              </m:sSubPr>
              <m:e>
                <m:r>
                  <m:rPr/>
                  <w:rPr>
                    <w:rFonts w:hint="default" w:ascii="Cambria Math" w:hAnsi="Cambria Math"/>
                    <w:highlight w:val="none"/>
                    <w:lang w:val="en-US" w:eastAsia="zh-CN"/>
                  </w:rPr>
                  <m:t>m</m:t>
                </m:r>
                <m:ctrlPr>
                  <w:rPr>
                    <w:rFonts w:hint="default" w:ascii="Cambria Math" w:hAnsi="Cambria Math"/>
                    <w:i/>
                    <w:highlight w:val="none"/>
                    <w:lang w:val="en-US" w:eastAsia="zh-CN"/>
                  </w:rPr>
                </m:ctrlPr>
              </m:e>
              <m:sub>
                <m:r>
                  <m:rPr/>
                  <w:rPr>
                    <w:rFonts w:hint="default" w:ascii="Cambria Math" w:hAnsi="Cambria Math"/>
                    <w:highlight w:val="none"/>
                    <w:lang w:val="en-US" w:eastAsia="zh-CN"/>
                  </w:rPr>
                  <m:t>2</m:t>
                </m:r>
                <m:ctrlPr>
                  <w:rPr>
                    <w:rFonts w:hint="default" w:ascii="Cambria Math" w:hAnsi="Cambria Math"/>
                    <w:i/>
                    <w:highlight w:val="none"/>
                    <w:lang w:val="en-US" w:eastAsia="zh-CN"/>
                  </w:rPr>
                </m:ctrlPr>
              </m:sub>
            </m:sSub>
            <m:ctrlPr>
              <w:rPr>
                <w:rFonts w:hint="default" w:ascii="Cambria Math" w:hAnsi="Cambria Math"/>
                <w:i/>
                <w:highlight w:val="none"/>
                <w:lang w:val="en-US" w:eastAsia="zh-CN"/>
              </w:rPr>
            </m:ctrlPr>
          </m:num>
          <m:den>
            <m:sSub>
              <m:sSubPr>
                <m:ctrlPr>
                  <w:rPr>
                    <w:rFonts w:hint="default" w:ascii="Cambria Math" w:hAnsi="Cambria Math"/>
                    <w:i/>
                    <w:highlight w:val="none"/>
                    <w:lang w:val="en-US" w:eastAsia="zh-CN"/>
                  </w:rPr>
                </m:ctrlPr>
              </m:sSubPr>
              <m:e>
                <m:r>
                  <m:rPr/>
                  <w:rPr>
                    <w:rFonts w:hint="default" w:ascii="Cambria Math" w:hAnsi="Cambria Math"/>
                    <w:highlight w:val="none"/>
                    <w:lang w:val="en-US" w:eastAsia="zh-CN"/>
                  </w:rPr>
                  <m:t>m</m:t>
                </m:r>
                <m:ctrlPr>
                  <w:rPr>
                    <w:rFonts w:hint="default" w:ascii="Cambria Math" w:hAnsi="Cambria Math"/>
                    <w:i/>
                    <w:highlight w:val="none"/>
                    <w:lang w:val="en-US" w:eastAsia="zh-CN"/>
                  </w:rPr>
                </m:ctrlPr>
              </m:e>
              <m:sub>
                <m:r>
                  <m:rPr/>
                  <w:rPr>
                    <w:rFonts w:hint="default" w:ascii="Cambria Math" w:hAnsi="Cambria Math"/>
                    <w:highlight w:val="none"/>
                    <w:lang w:val="en-US" w:eastAsia="zh-CN"/>
                  </w:rPr>
                  <m:t>3</m:t>
                </m:r>
                <m:ctrlPr>
                  <w:rPr>
                    <w:rFonts w:hint="default" w:ascii="Cambria Math" w:hAnsi="Cambria Math"/>
                    <w:i/>
                    <w:highlight w:val="none"/>
                    <w:lang w:val="en-US" w:eastAsia="zh-CN"/>
                  </w:rPr>
                </m:ctrlPr>
              </m:sub>
            </m:sSub>
            <m:ctrlPr>
              <w:rPr>
                <w:rFonts w:hint="default" w:ascii="Cambria Math" w:hAnsi="Cambria Math"/>
                <w:i/>
                <w:highlight w:val="none"/>
                <w:lang w:val="en-US" w:eastAsia="zh-CN"/>
              </w:rPr>
            </m:ctrlPr>
          </m:den>
        </m:f>
        <m:r>
          <m:rPr/>
          <w:rPr>
            <w:rFonts w:hint="default" w:ascii="Cambria Math" w:hAnsi="Cambria Math" w:cs="Cambria Math"/>
            <w:highlight w:val="none"/>
            <w:lang w:val="en-US" w:eastAsia="zh-CN"/>
          </w:rPr>
          <m:t>×</m:t>
        </m:r>
        <m:r>
          <m:rPr/>
          <w:rPr>
            <w:rFonts w:hint="default" w:ascii="Cambria Math" w:hAnsi="Cambria Math"/>
            <w:highlight w:val="none"/>
            <w:lang w:val="en-US" w:eastAsia="zh-CN"/>
          </w:rPr>
          <m:t>100</m:t>
        </m:r>
        <m:r>
          <m:rPr/>
          <w:rPr>
            <w:rFonts w:hint="default" w:ascii="Cambria Math" w:hAnsi="Cambria Math" w:cs="Cambria Math"/>
            <w:highlight w:val="none"/>
            <w:lang w:val="en-US" w:eastAsia="zh-CN"/>
          </w:rPr>
          <m:t>%</m:t>
        </m:r>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2</w:t>
      </w:r>
      <w:r>
        <w:rPr>
          <w:rFonts w:hint="eastAsia" w:ascii="宋体" w:hAnsi="宋体" w:eastAsia="宋体" w:cs="宋体"/>
          <w:highlight w:val="none"/>
        </w:rPr>
        <w:t>）</w:t>
      </w:r>
    </w:p>
    <w:p w14:paraId="397FF046">
      <w:pPr>
        <w:pStyle w:val="60"/>
        <w:jc w:val="left"/>
        <w:rPr>
          <w:rFonts w:hint="eastAsia" w:hAnsi="宋体" w:cs="宋体"/>
          <w:highlight w:val="none"/>
          <w:lang w:val="en-US" w:eastAsia="zh-CN"/>
        </w:rPr>
      </w:pPr>
      <w:r>
        <w:rPr>
          <w:rFonts w:hint="eastAsia" w:hAnsi="宋体" w:cs="宋体"/>
          <w:highlight w:val="none"/>
          <w:lang w:val="en-US" w:eastAsia="zh-CN"/>
        </w:rPr>
        <w:t>式中：</w:t>
      </w:r>
    </w:p>
    <w:p w14:paraId="11673C0F">
      <w:pPr>
        <w:pStyle w:val="60"/>
        <w:jc w:val="left"/>
        <w:rPr>
          <w:rFonts w:hint="eastAsia" w:ascii="宋体" w:hAnsi="宋体" w:eastAsia="宋体" w:cs="宋体"/>
          <w:highlight w:val="none"/>
          <w:lang w:val="en-US" w:eastAsia="zh-CN"/>
        </w:rPr>
      </w:pPr>
      <w:r>
        <w:rPr>
          <w:rFonts w:hint="eastAsia" w:ascii="宋体" w:hAnsi="宋体" w:eastAsia="宋体" w:cs="宋体"/>
          <w:i/>
          <w:iCs/>
          <w:highlight w:val="none"/>
          <w:lang w:val="en-US" w:eastAsia="zh-CN"/>
        </w:rPr>
        <w:t>X</w:t>
      </w:r>
      <w:r>
        <w:rPr>
          <w:rFonts w:hint="eastAsia" w:ascii="宋体" w:hAnsi="宋体" w:eastAsia="宋体" w:cs="宋体"/>
          <w:i/>
          <w:iCs/>
          <w:highlight w:val="none"/>
          <w:vertAlign w:val="subscript"/>
          <w:lang w:val="en-US" w:eastAsia="zh-CN"/>
        </w:rPr>
        <w:t>2</w:t>
      </w:r>
      <w:r>
        <w:rPr>
          <w:rFonts w:hint="default" w:ascii="Times New Roman" w:hAnsi="Times New Roman" w:cs="Times New Roman"/>
          <w:highlight w:val="none"/>
          <w:lang w:val="en-US" w:eastAsia="zh-CN"/>
        </w:rPr>
        <w:t>——</w:t>
      </w:r>
      <w:r>
        <w:rPr>
          <w:rFonts w:hint="eastAsia" w:ascii="宋体" w:hAnsi="宋体" w:eastAsia="宋体" w:cs="宋体"/>
          <w:highlight w:val="none"/>
          <w:lang w:val="en-US" w:eastAsia="zh-CN"/>
        </w:rPr>
        <w:t>不挥发物含量，%；</w:t>
      </w:r>
    </w:p>
    <w:p w14:paraId="04629D46">
      <w:pPr>
        <w:pStyle w:val="60"/>
        <w:jc w:val="left"/>
        <w:rPr>
          <w:rFonts w:hint="eastAsia" w:ascii="宋体" w:hAnsi="宋体" w:eastAsia="宋体" w:cs="宋体"/>
          <w:highlight w:val="none"/>
          <w:lang w:val="en-US" w:eastAsia="zh-CN"/>
        </w:rPr>
      </w:pPr>
      <w:r>
        <w:rPr>
          <w:rFonts w:hint="eastAsia" w:ascii="宋体" w:hAnsi="宋体" w:eastAsia="宋体" w:cs="宋体"/>
          <w:i/>
          <w:iCs/>
          <w:highlight w:val="none"/>
          <w:lang w:val="en-US" w:eastAsia="zh-CN"/>
        </w:rPr>
        <w:t>m</w:t>
      </w:r>
      <w:r>
        <w:rPr>
          <w:rFonts w:hint="eastAsia" w:ascii="宋体" w:hAnsi="宋体" w:eastAsia="宋体" w:cs="宋体"/>
          <w:i/>
          <w:iCs/>
          <w:highlight w:val="none"/>
          <w:vertAlign w:val="subscript"/>
          <w:lang w:val="en-US" w:eastAsia="zh-CN"/>
        </w:rPr>
        <w:t>1</w:t>
      </w:r>
      <w:r>
        <w:rPr>
          <w:rFonts w:hint="default" w:ascii="Times New Roman" w:hAnsi="Times New Roman" w:cs="Times New Roman"/>
          <w:highlight w:val="none"/>
          <w:lang w:val="en-US" w:eastAsia="zh-CN"/>
        </w:rPr>
        <w:t>——</w:t>
      </w:r>
      <w:r>
        <w:rPr>
          <w:rFonts w:hint="eastAsia" w:ascii="宋体" w:hAnsi="宋体" w:eastAsia="宋体" w:cs="宋体"/>
          <w:highlight w:val="none"/>
          <w:lang w:val="en-US" w:eastAsia="zh-CN"/>
        </w:rPr>
        <w:t>蒸发皿及残渣质量，g；</w:t>
      </w:r>
    </w:p>
    <w:p w14:paraId="614C3960">
      <w:pPr>
        <w:pStyle w:val="60"/>
        <w:jc w:val="left"/>
        <w:rPr>
          <w:rFonts w:hint="eastAsia" w:ascii="宋体" w:hAnsi="宋体" w:eastAsia="宋体" w:cs="宋体"/>
          <w:highlight w:val="none"/>
          <w:lang w:val="en-US" w:eastAsia="zh-CN"/>
        </w:rPr>
      </w:pPr>
      <w:r>
        <w:rPr>
          <w:rFonts w:hint="eastAsia" w:ascii="宋体" w:hAnsi="宋体" w:eastAsia="宋体" w:cs="宋体"/>
          <w:i/>
          <w:iCs/>
          <w:highlight w:val="none"/>
          <w:lang w:val="en-US" w:eastAsia="zh-CN"/>
        </w:rPr>
        <w:t>m</w:t>
      </w:r>
      <w:r>
        <w:rPr>
          <w:rFonts w:hint="eastAsia" w:ascii="宋体" w:hAnsi="宋体" w:eastAsia="宋体" w:cs="宋体"/>
          <w:i/>
          <w:iCs/>
          <w:highlight w:val="none"/>
          <w:vertAlign w:val="subscript"/>
          <w:lang w:val="en-US" w:eastAsia="zh-CN"/>
        </w:rPr>
        <w:t>2</w:t>
      </w:r>
      <w:r>
        <w:rPr>
          <w:rFonts w:hint="default" w:ascii="Times New Roman" w:hAnsi="Times New Roman" w:cs="Times New Roman"/>
          <w:highlight w:val="none"/>
          <w:lang w:val="en-US" w:eastAsia="zh-CN"/>
        </w:rPr>
        <w:t>——</w:t>
      </w:r>
      <w:r>
        <w:rPr>
          <w:rFonts w:hint="eastAsia" w:ascii="宋体" w:hAnsi="宋体" w:eastAsia="宋体" w:cs="宋体"/>
          <w:highlight w:val="none"/>
          <w:lang w:val="en-US" w:eastAsia="zh-CN"/>
        </w:rPr>
        <w:t>蒸发皿质量，g；</w:t>
      </w:r>
    </w:p>
    <w:p w14:paraId="365F1CAD">
      <w:pPr>
        <w:pStyle w:val="6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m</w:t>
      </w:r>
      <w:r>
        <w:rPr>
          <w:rFonts w:hint="eastAsia" w:ascii="宋体" w:hAnsi="宋体" w:eastAsia="宋体" w:cs="宋体"/>
          <w:highlight w:val="none"/>
          <w:vertAlign w:val="subscript"/>
          <w:lang w:val="en-US" w:eastAsia="zh-CN"/>
        </w:rPr>
        <w:t>3</w:t>
      </w:r>
      <w:r>
        <w:rPr>
          <w:rFonts w:hint="default" w:ascii="Times New Roman" w:hAnsi="Times New Roman" w:cs="Times New Roman"/>
          <w:highlight w:val="none"/>
          <w:lang w:val="en-US" w:eastAsia="zh-CN"/>
        </w:rPr>
        <w:t>——</w:t>
      </w:r>
      <w:r>
        <w:rPr>
          <w:rFonts w:hint="eastAsia" w:ascii="宋体" w:hAnsi="宋体" w:eastAsia="宋体" w:cs="宋体"/>
          <w:highlight w:val="none"/>
          <w:lang w:val="en-US" w:eastAsia="zh-CN"/>
        </w:rPr>
        <w:t>样品质量，g。</w:t>
      </w:r>
    </w:p>
    <w:p w14:paraId="720AD7BA">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允许误差：平行测定结果之差不得大于0.01%。</w:t>
      </w:r>
    </w:p>
    <w:p w14:paraId="618A0EF1">
      <w:pPr>
        <w:pStyle w:val="108"/>
        <w:spacing w:before="240" w:after="240"/>
        <w:rPr>
          <w:rFonts w:hint="default" w:hAnsi="Times New Roman" w:cs="Times New Roman"/>
          <w:highlight w:val="none"/>
          <w:lang w:val="en-US" w:eastAsia="zh-CN"/>
        </w:rPr>
      </w:pPr>
      <w:bookmarkStart w:id="76" w:name="_Toc17408"/>
      <w:r>
        <w:rPr>
          <w:rFonts w:hint="eastAsia" w:hAnsi="Times New Roman" w:cs="Times New Roman"/>
          <w:highlight w:val="none"/>
          <w:lang w:val="en-US" w:eastAsia="zh-CN"/>
        </w:rPr>
        <w:t>检验规则</w:t>
      </w:r>
      <w:bookmarkEnd w:id="76"/>
    </w:p>
    <w:p w14:paraId="1E977C84">
      <w:pPr>
        <w:pStyle w:val="109"/>
        <w:spacing w:before="120" w:after="120"/>
        <w:rPr>
          <w:rFonts w:hint="eastAsia" w:hAnsi="Times New Roman" w:cs="Times New Roman"/>
          <w:szCs w:val="24"/>
          <w:highlight w:val="none"/>
          <w:lang w:val="en-US" w:eastAsia="zh-CN"/>
        </w:rPr>
      </w:pPr>
      <w:bookmarkStart w:id="77" w:name="_Toc5951"/>
      <w:r>
        <w:rPr>
          <w:rFonts w:hint="eastAsia" w:hAnsi="Times New Roman" w:cs="Times New Roman"/>
          <w:szCs w:val="24"/>
          <w:highlight w:val="none"/>
          <w:lang w:val="en-US" w:eastAsia="zh-CN"/>
        </w:rPr>
        <w:t>检验分类</w:t>
      </w:r>
      <w:bookmarkEnd w:id="77"/>
    </w:p>
    <w:p w14:paraId="5459E580">
      <w:pPr>
        <w:pStyle w:val="60"/>
        <w:rPr>
          <w:rFonts w:hint="eastAsia" w:hAnsi="Times New Roman" w:cs="Times New Roman"/>
          <w:szCs w:val="24"/>
          <w:highlight w:val="none"/>
          <w:lang w:val="en-US" w:eastAsia="zh-CN"/>
        </w:rPr>
      </w:pPr>
      <w:r>
        <w:rPr>
          <w:rFonts w:hint="eastAsia" w:hAnsi="Times New Roman" w:cs="Times New Roman"/>
          <w:szCs w:val="24"/>
          <w:highlight w:val="none"/>
          <w:lang w:val="en-US" w:eastAsia="zh-CN"/>
        </w:rPr>
        <w:t>检验应分为出厂检验和型式检验，检验项目见表2。</w:t>
      </w:r>
    </w:p>
    <w:p w14:paraId="313E9235">
      <w:pPr>
        <w:pStyle w:val="116"/>
        <w:rPr>
          <w:rFonts w:hint="eastAsia" w:hAnsi="Times New Roman" w:cs="Times New Roman"/>
          <w:szCs w:val="24"/>
          <w:highlight w:val="none"/>
          <w:lang w:val="en-US" w:eastAsia="zh-CN"/>
        </w:rPr>
      </w:pPr>
      <w:r>
        <w:rPr>
          <w:rFonts w:hint="eastAsia"/>
          <w:highlight w:val="none"/>
        </w:rPr>
        <w:t>检验</w:t>
      </w:r>
      <w:r>
        <w:rPr>
          <w:rFonts w:hint="eastAsia"/>
          <w:highlight w:val="none"/>
          <w:lang w:val="en-US" w:eastAsia="zh-CN"/>
        </w:rPr>
        <w:t>项目</w:t>
      </w:r>
    </w:p>
    <w:tbl>
      <w:tblPr>
        <w:tblStyle w:val="30"/>
        <w:tblW w:w="600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00"/>
        <w:gridCol w:w="1701"/>
        <w:gridCol w:w="1701"/>
      </w:tblGrid>
      <w:tr w14:paraId="132A83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600" w:type="dxa"/>
            <w:tcBorders>
              <w:bottom w:val="single" w:color="auto" w:sz="8" w:space="0"/>
            </w:tcBorders>
          </w:tcPr>
          <w:p w14:paraId="6288E112">
            <w:pPr>
              <w:pStyle w:val="263"/>
              <w:rPr>
                <w:highlight w:val="none"/>
              </w:rPr>
            </w:pPr>
            <w:r>
              <w:rPr>
                <w:rFonts w:hint="eastAsia"/>
                <w:highlight w:val="none"/>
              </w:rPr>
              <w:t>检验项目</w:t>
            </w:r>
          </w:p>
        </w:tc>
        <w:tc>
          <w:tcPr>
            <w:tcW w:w="1701" w:type="dxa"/>
            <w:tcBorders>
              <w:bottom w:val="single" w:color="auto" w:sz="8" w:space="0"/>
            </w:tcBorders>
          </w:tcPr>
          <w:p w14:paraId="0E7FC1F7">
            <w:pPr>
              <w:pStyle w:val="263"/>
              <w:rPr>
                <w:highlight w:val="none"/>
              </w:rPr>
            </w:pPr>
            <w:r>
              <w:rPr>
                <w:rFonts w:hint="eastAsia"/>
                <w:highlight w:val="none"/>
              </w:rPr>
              <w:t>出厂检验</w:t>
            </w:r>
          </w:p>
        </w:tc>
        <w:tc>
          <w:tcPr>
            <w:tcW w:w="1701" w:type="dxa"/>
            <w:tcBorders>
              <w:bottom w:val="single" w:color="auto" w:sz="8" w:space="0"/>
            </w:tcBorders>
          </w:tcPr>
          <w:p w14:paraId="5640E8A9">
            <w:pPr>
              <w:pStyle w:val="263"/>
              <w:rPr>
                <w:highlight w:val="none"/>
              </w:rPr>
            </w:pPr>
            <w:r>
              <w:rPr>
                <w:rFonts w:hint="eastAsia"/>
                <w:highlight w:val="none"/>
              </w:rPr>
              <w:t>型式检验</w:t>
            </w:r>
          </w:p>
        </w:tc>
      </w:tr>
      <w:tr w14:paraId="013CB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600" w:type="dxa"/>
            <w:tcBorders>
              <w:top w:val="single" w:color="auto" w:sz="8" w:space="0"/>
            </w:tcBorders>
          </w:tcPr>
          <w:p w14:paraId="610837A3">
            <w:pPr>
              <w:pStyle w:val="263"/>
              <w:rPr>
                <w:rFonts w:hint="eastAsia" w:eastAsia="宋体"/>
                <w:highlight w:val="none"/>
                <w:lang w:eastAsia="zh-CN"/>
              </w:rPr>
            </w:pPr>
            <w:r>
              <w:rPr>
                <w:rFonts w:hint="eastAsia"/>
                <w:highlight w:val="none"/>
                <w:lang w:val="en-US" w:eastAsia="zh-CN"/>
              </w:rPr>
              <w:t>外观</w:t>
            </w:r>
          </w:p>
        </w:tc>
        <w:tc>
          <w:tcPr>
            <w:tcW w:w="1701" w:type="dxa"/>
            <w:tcBorders>
              <w:top w:val="single" w:color="auto" w:sz="8" w:space="0"/>
            </w:tcBorders>
          </w:tcPr>
          <w:p w14:paraId="4B488CB4">
            <w:pPr>
              <w:pStyle w:val="263"/>
              <w:rPr>
                <w:highlight w:val="none"/>
              </w:rPr>
            </w:pPr>
            <w:r>
              <w:rPr>
                <w:rFonts w:hint="eastAsia"/>
                <w:highlight w:val="none"/>
              </w:rPr>
              <w:t>√</w:t>
            </w:r>
          </w:p>
        </w:tc>
        <w:tc>
          <w:tcPr>
            <w:tcW w:w="1701" w:type="dxa"/>
            <w:tcBorders>
              <w:top w:val="single" w:color="auto" w:sz="8" w:space="0"/>
            </w:tcBorders>
          </w:tcPr>
          <w:p w14:paraId="394AAF88">
            <w:pPr>
              <w:pStyle w:val="263"/>
              <w:rPr>
                <w:highlight w:val="none"/>
              </w:rPr>
            </w:pPr>
            <w:r>
              <w:rPr>
                <w:rFonts w:hint="eastAsia"/>
                <w:highlight w:val="none"/>
              </w:rPr>
              <w:t>√</w:t>
            </w:r>
          </w:p>
        </w:tc>
      </w:tr>
      <w:tr w14:paraId="0BB093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600" w:type="dxa"/>
          </w:tcPr>
          <w:p w14:paraId="11F558C4">
            <w:pPr>
              <w:pStyle w:val="263"/>
              <w:rPr>
                <w:rFonts w:hint="eastAsia" w:eastAsia="宋体"/>
                <w:highlight w:val="none"/>
                <w:lang w:eastAsia="zh-CN"/>
              </w:rPr>
            </w:pPr>
            <w:r>
              <w:rPr>
                <w:rFonts w:hint="eastAsia"/>
                <w:highlight w:val="none"/>
                <w:lang w:val="en-US" w:eastAsia="zh-CN"/>
              </w:rPr>
              <w:t>碘含量</w:t>
            </w:r>
          </w:p>
        </w:tc>
        <w:tc>
          <w:tcPr>
            <w:tcW w:w="1701" w:type="dxa"/>
          </w:tcPr>
          <w:p w14:paraId="1A3183D9">
            <w:pPr>
              <w:pStyle w:val="263"/>
              <w:rPr>
                <w:highlight w:val="none"/>
              </w:rPr>
            </w:pPr>
            <w:r>
              <w:rPr>
                <w:rFonts w:hint="eastAsia"/>
                <w:highlight w:val="none"/>
              </w:rPr>
              <w:t>√</w:t>
            </w:r>
          </w:p>
        </w:tc>
        <w:tc>
          <w:tcPr>
            <w:tcW w:w="1701" w:type="dxa"/>
          </w:tcPr>
          <w:p w14:paraId="789BCA66">
            <w:pPr>
              <w:pStyle w:val="263"/>
              <w:rPr>
                <w:highlight w:val="none"/>
              </w:rPr>
            </w:pPr>
            <w:r>
              <w:rPr>
                <w:rFonts w:hint="eastAsia"/>
                <w:highlight w:val="none"/>
              </w:rPr>
              <w:t>√</w:t>
            </w:r>
          </w:p>
        </w:tc>
      </w:tr>
      <w:tr w14:paraId="3FA78F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600" w:type="dxa"/>
          </w:tcPr>
          <w:p w14:paraId="10248D2E">
            <w:pPr>
              <w:pStyle w:val="263"/>
              <w:rPr>
                <w:highlight w:val="none"/>
              </w:rPr>
            </w:pPr>
            <w:r>
              <w:rPr>
                <w:rFonts w:hint="eastAsia"/>
                <w:highlight w:val="none"/>
              </w:rPr>
              <w:t>氯化物及溴化物含量</w:t>
            </w:r>
          </w:p>
        </w:tc>
        <w:tc>
          <w:tcPr>
            <w:tcW w:w="1701" w:type="dxa"/>
          </w:tcPr>
          <w:p w14:paraId="3493DB5D">
            <w:pPr>
              <w:pStyle w:val="263"/>
              <w:rPr>
                <w:highlight w:val="none"/>
              </w:rPr>
            </w:pPr>
            <w:r>
              <w:rPr>
                <w:rFonts w:hint="eastAsia"/>
                <w:highlight w:val="none"/>
              </w:rPr>
              <w:t>√</w:t>
            </w:r>
          </w:p>
        </w:tc>
        <w:tc>
          <w:tcPr>
            <w:tcW w:w="1701" w:type="dxa"/>
          </w:tcPr>
          <w:p w14:paraId="27533F13">
            <w:pPr>
              <w:pStyle w:val="263"/>
              <w:rPr>
                <w:highlight w:val="none"/>
              </w:rPr>
            </w:pPr>
            <w:r>
              <w:rPr>
                <w:rFonts w:hint="eastAsia"/>
                <w:highlight w:val="none"/>
              </w:rPr>
              <w:t>√</w:t>
            </w:r>
          </w:p>
        </w:tc>
      </w:tr>
      <w:tr w14:paraId="5374BB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600" w:type="dxa"/>
          </w:tcPr>
          <w:p w14:paraId="1A4835C9">
            <w:pPr>
              <w:pStyle w:val="263"/>
              <w:rPr>
                <w:highlight w:val="none"/>
              </w:rPr>
            </w:pPr>
            <w:r>
              <w:rPr>
                <w:rFonts w:hint="eastAsia"/>
                <w:highlight w:val="none"/>
              </w:rPr>
              <w:t>硫酸盐含量</w:t>
            </w:r>
          </w:p>
        </w:tc>
        <w:tc>
          <w:tcPr>
            <w:tcW w:w="1701" w:type="dxa"/>
          </w:tcPr>
          <w:p w14:paraId="53C9287F">
            <w:pPr>
              <w:pStyle w:val="263"/>
              <w:rPr>
                <w:rFonts w:hAnsi="宋体" w:cs="宋体"/>
                <w:highlight w:val="none"/>
              </w:rPr>
            </w:pPr>
            <w:r>
              <w:rPr>
                <w:rFonts w:hint="eastAsia"/>
                <w:highlight w:val="none"/>
              </w:rPr>
              <w:t>√</w:t>
            </w:r>
          </w:p>
        </w:tc>
        <w:tc>
          <w:tcPr>
            <w:tcW w:w="1701" w:type="dxa"/>
          </w:tcPr>
          <w:p w14:paraId="67236208">
            <w:pPr>
              <w:pStyle w:val="263"/>
              <w:rPr>
                <w:highlight w:val="none"/>
              </w:rPr>
            </w:pPr>
            <w:r>
              <w:rPr>
                <w:rFonts w:hint="eastAsia"/>
                <w:highlight w:val="none"/>
              </w:rPr>
              <w:t>√</w:t>
            </w:r>
          </w:p>
        </w:tc>
      </w:tr>
      <w:tr w14:paraId="54ADF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600" w:type="dxa"/>
          </w:tcPr>
          <w:p w14:paraId="403E7BC1">
            <w:pPr>
              <w:pStyle w:val="263"/>
              <w:rPr>
                <w:rFonts w:hint="default" w:eastAsia="宋体"/>
                <w:highlight w:val="none"/>
                <w:lang w:val="en-US" w:eastAsia="zh-CN"/>
              </w:rPr>
            </w:pPr>
            <w:r>
              <w:rPr>
                <w:rFonts w:hint="eastAsia"/>
                <w:highlight w:val="none"/>
                <w:lang w:val="en-US" w:eastAsia="zh-CN"/>
              </w:rPr>
              <w:t>不挥发物</w:t>
            </w:r>
          </w:p>
        </w:tc>
        <w:tc>
          <w:tcPr>
            <w:tcW w:w="1701" w:type="dxa"/>
          </w:tcPr>
          <w:p w14:paraId="01883CB1">
            <w:pPr>
              <w:pStyle w:val="263"/>
              <w:rPr>
                <w:highlight w:val="none"/>
              </w:rPr>
            </w:pPr>
            <w:r>
              <w:rPr>
                <w:rFonts w:hint="eastAsia"/>
                <w:highlight w:val="none"/>
              </w:rPr>
              <w:t>√</w:t>
            </w:r>
          </w:p>
        </w:tc>
        <w:tc>
          <w:tcPr>
            <w:tcW w:w="1701" w:type="dxa"/>
          </w:tcPr>
          <w:p w14:paraId="628CF55E">
            <w:pPr>
              <w:pStyle w:val="263"/>
              <w:rPr>
                <w:highlight w:val="none"/>
              </w:rPr>
            </w:pPr>
            <w:r>
              <w:rPr>
                <w:rFonts w:hint="eastAsia"/>
                <w:highlight w:val="none"/>
              </w:rPr>
              <w:t>√</w:t>
            </w:r>
          </w:p>
        </w:tc>
      </w:tr>
      <w:tr w14:paraId="0C8F56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002" w:type="dxa"/>
            <w:gridSpan w:val="3"/>
          </w:tcPr>
          <w:p w14:paraId="6C78D293">
            <w:pPr>
              <w:pStyle w:val="183"/>
              <w:bidi w:val="0"/>
              <w:jc w:val="left"/>
              <w:rPr>
                <w:rFonts w:hint="eastAsia"/>
                <w:highlight w:val="none"/>
              </w:rPr>
            </w:pPr>
            <w:r>
              <w:rPr>
                <w:rFonts w:hint="eastAsia"/>
                <w:highlight w:val="none"/>
              </w:rPr>
              <w:t>表中“√”表示检验项目；“—”表示非检验项目。</w:t>
            </w:r>
          </w:p>
        </w:tc>
      </w:tr>
    </w:tbl>
    <w:p w14:paraId="4DFF746C">
      <w:pPr>
        <w:pStyle w:val="60"/>
        <w:rPr>
          <w:rFonts w:hint="default" w:hAnsi="Times New Roman" w:cs="Times New Roman"/>
          <w:szCs w:val="24"/>
          <w:highlight w:val="none"/>
          <w:lang w:val="en-US" w:eastAsia="zh-CN"/>
        </w:rPr>
      </w:pPr>
    </w:p>
    <w:p w14:paraId="14498431">
      <w:pPr>
        <w:pStyle w:val="109"/>
        <w:spacing w:before="120" w:after="120"/>
        <w:rPr>
          <w:rFonts w:hint="eastAsia" w:hAnsi="Times New Roman" w:cs="Times New Roman"/>
          <w:szCs w:val="24"/>
          <w:highlight w:val="none"/>
          <w:lang w:val="en-US" w:eastAsia="zh-CN"/>
        </w:rPr>
      </w:pPr>
      <w:bookmarkStart w:id="78" w:name="_Toc22078"/>
      <w:r>
        <w:rPr>
          <w:rFonts w:hint="eastAsia" w:hAnsi="Times New Roman" w:cs="Times New Roman"/>
          <w:szCs w:val="24"/>
          <w:highlight w:val="none"/>
          <w:lang w:val="en-US" w:eastAsia="zh-CN"/>
        </w:rPr>
        <w:t>出厂检验</w:t>
      </w:r>
      <w:bookmarkEnd w:id="78"/>
    </w:p>
    <w:p w14:paraId="718771D6">
      <w:pPr>
        <w:pStyle w:val="60"/>
        <w:rPr>
          <w:rFonts w:hint="eastAsia"/>
          <w:highlight w:val="none"/>
          <w:lang w:val="en-US" w:eastAsia="zh-CN"/>
        </w:rPr>
      </w:pPr>
      <w:r>
        <w:rPr>
          <w:rFonts w:hint="eastAsia"/>
          <w:highlight w:val="none"/>
          <w:lang w:val="en-US" w:eastAsia="zh-CN"/>
        </w:rPr>
        <w:t>每批产品出厂前应进行出厂检验，检验项目应符合表2的规定。</w:t>
      </w:r>
    </w:p>
    <w:p w14:paraId="73D70931">
      <w:pPr>
        <w:pStyle w:val="109"/>
        <w:spacing w:before="120" w:after="120"/>
        <w:rPr>
          <w:rFonts w:hint="default" w:hAnsi="Times New Roman" w:cs="Times New Roman"/>
          <w:szCs w:val="24"/>
          <w:highlight w:val="none"/>
          <w:lang w:val="en-US" w:eastAsia="zh-CN"/>
        </w:rPr>
      </w:pPr>
      <w:bookmarkStart w:id="79" w:name="_Toc32378"/>
      <w:r>
        <w:rPr>
          <w:rFonts w:hint="eastAsia" w:hAnsi="Times New Roman" w:cs="Times New Roman"/>
          <w:szCs w:val="24"/>
          <w:highlight w:val="none"/>
          <w:lang w:val="en-US" w:eastAsia="zh-CN"/>
        </w:rPr>
        <w:t>型式检验</w:t>
      </w:r>
      <w:bookmarkEnd w:id="79"/>
    </w:p>
    <w:p w14:paraId="11AE1C3A">
      <w:pPr>
        <w:pStyle w:val="60"/>
        <w:rPr>
          <w:rFonts w:hint="default"/>
          <w:highlight w:val="none"/>
          <w:lang w:val="en-US" w:eastAsia="zh-CN"/>
        </w:rPr>
      </w:pPr>
      <w:r>
        <w:rPr>
          <w:rFonts w:hint="default"/>
          <w:highlight w:val="none"/>
          <w:lang w:val="en-US" w:eastAsia="zh-CN"/>
        </w:rPr>
        <w:t>型式检验项目</w:t>
      </w:r>
      <w:r>
        <w:rPr>
          <w:rFonts w:hint="eastAsia"/>
          <w:highlight w:val="none"/>
          <w:lang w:val="en-US" w:eastAsia="zh-CN"/>
        </w:rPr>
        <w:t>应包括表2的全部项目，</w:t>
      </w:r>
      <w:r>
        <w:rPr>
          <w:rFonts w:hint="default"/>
          <w:highlight w:val="none"/>
          <w:lang w:val="en-US" w:eastAsia="zh-CN"/>
        </w:rPr>
        <w:t>有下列情况之一时，</w:t>
      </w:r>
      <w:r>
        <w:rPr>
          <w:rFonts w:hint="eastAsia"/>
          <w:highlight w:val="none"/>
          <w:lang w:val="en-US" w:eastAsia="zh-CN"/>
        </w:rPr>
        <w:t>还</w:t>
      </w:r>
      <w:r>
        <w:rPr>
          <w:rFonts w:hint="default"/>
          <w:highlight w:val="none"/>
          <w:lang w:val="en-US" w:eastAsia="zh-CN"/>
        </w:rPr>
        <w:t>应进行型式检验：</w:t>
      </w:r>
    </w:p>
    <w:p w14:paraId="1AAFADDB">
      <w:pPr>
        <w:pStyle w:val="178"/>
        <w:numPr>
          <w:ilvl w:val="0"/>
          <w:numId w:val="40"/>
        </w:numPr>
        <w:rPr>
          <w:rFonts w:hint="default" w:hAnsi="宋体" w:cs="宋体"/>
          <w:szCs w:val="24"/>
          <w:highlight w:val="none"/>
          <w:lang w:val="en-US" w:eastAsia="zh-CN"/>
        </w:rPr>
      </w:pPr>
      <w:r>
        <w:rPr>
          <w:rFonts w:hint="default" w:hAnsi="宋体" w:cs="宋体"/>
          <w:szCs w:val="24"/>
          <w:highlight w:val="none"/>
          <w:lang w:val="en-US" w:eastAsia="zh-CN"/>
        </w:rPr>
        <w:t>新产品投产或老产品转厂时；</w:t>
      </w:r>
    </w:p>
    <w:p w14:paraId="47C45DE7">
      <w:pPr>
        <w:pStyle w:val="178"/>
        <w:numPr>
          <w:ilvl w:val="0"/>
          <w:numId w:val="40"/>
        </w:numPr>
        <w:rPr>
          <w:rFonts w:hint="default" w:hAnsi="宋体" w:cs="宋体"/>
          <w:szCs w:val="24"/>
          <w:highlight w:val="none"/>
          <w:lang w:val="en-US" w:eastAsia="zh-CN"/>
        </w:rPr>
      </w:pPr>
      <w:r>
        <w:rPr>
          <w:rFonts w:hint="default" w:hAnsi="宋体" w:cs="宋体"/>
          <w:szCs w:val="24"/>
          <w:highlight w:val="none"/>
          <w:lang w:val="en-US" w:eastAsia="zh-CN"/>
        </w:rPr>
        <w:t>正常生产后，如原料、工艺有较大改变，可能影响产品性能时；</w:t>
      </w:r>
    </w:p>
    <w:p w14:paraId="5315DC2D">
      <w:pPr>
        <w:pStyle w:val="178"/>
        <w:numPr>
          <w:ilvl w:val="0"/>
          <w:numId w:val="40"/>
        </w:numPr>
        <w:rPr>
          <w:rFonts w:hint="default" w:hAnsi="宋体" w:cs="宋体"/>
          <w:szCs w:val="24"/>
          <w:highlight w:val="none"/>
          <w:lang w:val="en-US" w:eastAsia="zh-CN"/>
        </w:rPr>
      </w:pPr>
      <w:r>
        <w:rPr>
          <w:rFonts w:hint="default" w:hAnsi="宋体" w:cs="宋体"/>
          <w:szCs w:val="24"/>
          <w:highlight w:val="none"/>
          <w:lang w:val="en-US" w:eastAsia="zh-CN"/>
        </w:rPr>
        <w:t>正常生产时，每年至少进行一次；</w:t>
      </w:r>
    </w:p>
    <w:p w14:paraId="5133DA98">
      <w:pPr>
        <w:pStyle w:val="178"/>
        <w:numPr>
          <w:ilvl w:val="0"/>
          <w:numId w:val="40"/>
        </w:numPr>
        <w:rPr>
          <w:rFonts w:hint="default" w:hAnsi="宋体" w:cs="宋体"/>
          <w:szCs w:val="24"/>
          <w:highlight w:val="none"/>
          <w:lang w:val="en-US" w:eastAsia="zh-CN"/>
        </w:rPr>
      </w:pPr>
      <w:r>
        <w:rPr>
          <w:rFonts w:hint="default" w:hAnsi="宋体" w:cs="宋体"/>
          <w:szCs w:val="24"/>
          <w:highlight w:val="none"/>
          <w:lang w:val="en-US" w:eastAsia="zh-CN"/>
        </w:rPr>
        <w:t>产品长期停产后，恢复生产时；</w:t>
      </w:r>
    </w:p>
    <w:p w14:paraId="6FD4C2C0">
      <w:pPr>
        <w:pStyle w:val="178"/>
        <w:numPr>
          <w:ilvl w:val="0"/>
          <w:numId w:val="40"/>
        </w:numPr>
        <w:rPr>
          <w:rFonts w:hint="default" w:hAnsi="宋体" w:cs="宋体"/>
          <w:szCs w:val="24"/>
          <w:highlight w:val="none"/>
          <w:lang w:val="en-US" w:eastAsia="zh-CN"/>
        </w:rPr>
      </w:pPr>
      <w:r>
        <w:rPr>
          <w:rFonts w:hint="default" w:hAnsi="宋体" w:cs="宋体"/>
          <w:szCs w:val="24"/>
          <w:highlight w:val="none"/>
          <w:lang w:val="en-US" w:eastAsia="zh-CN"/>
        </w:rPr>
        <w:t>出厂检验结果与上次型式检验有较大差异时。</w:t>
      </w:r>
    </w:p>
    <w:p w14:paraId="519647CA">
      <w:pPr>
        <w:pStyle w:val="109"/>
        <w:spacing w:before="120" w:after="120"/>
        <w:rPr>
          <w:rFonts w:hint="default" w:hAnsi="Times New Roman" w:cs="Times New Roman"/>
          <w:szCs w:val="24"/>
          <w:highlight w:val="none"/>
          <w:lang w:val="en-US" w:eastAsia="zh-CN"/>
        </w:rPr>
      </w:pPr>
      <w:bookmarkStart w:id="80" w:name="_Toc26571"/>
      <w:r>
        <w:rPr>
          <w:rFonts w:hint="eastAsia" w:hAnsi="Times New Roman" w:cs="Times New Roman"/>
          <w:szCs w:val="24"/>
          <w:highlight w:val="none"/>
          <w:lang w:val="en-US" w:eastAsia="zh-CN"/>
        </w:rPr>
        <w:t>组批与取样</w:t>
      </w:r>
      <w:bookmarkEnd w:id="80"/>
    </w:p>
    <w:p w14:paraId="64ADE2F3">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产品</w:t>
      </w:r>
      <w:r>
        <w:rPr>
          <w:rFonts w:hint="eastAsia" w:ascii="宋体" w:hAnsi="宋体" w:eastAsia="宋体" w:cs="宋体"/>
          <w:highlight w:val="none"/>
          <w:lang w:val="en-US" w:eastAsia="zh-CN"/>
        </w:rPr>
        <w:t>满一批次时应</w:t>
      </w:r>
      <w:r>
        <w:rPr>
          <w:rFonts w:hint="default" w:ascii="宋体" w:hAnsi="宋体" w:eastAsia="宋体" w:cs="宋体"/>
          <w:highlight w:val="none"/>
          <w:lang w:val="en-US" w:eastAsia="zh-CN"/>
        </w:rPr>
        <w:t>按GB/T</w:t>
      </w:r>
      <w:r>
        <w:rPr>
          <w:rFonts w:hint="eastAsia" w:ascii="宋体" w:hAnsi="宋体" w:eastAsia="宋体" w:cs="宋体"/>
          <w:highlight w:val="none"/>
          <w:lang w:val="en-US" w:eastAsia="zh-CN"/>
        </w:rPr>
        <w:t xml:space="preserve"> </w:t>
      </w:r>
      <w:r>
        <w:rPr>
          <w:rFonts w:hint="default" w:ascii="宋体" w:hAnsi="宋体" w:eastAsia="宋体" w:cs="宋体"/>
          <w:highlight w:val="none"/>
          <w:lang w:val="en-US" w:eastAsia="zh-CN"/>
        </w:rPr>
        <w:t>6678和GB/T</w:t>
      </w:r>
      <w:r>
        <w:rPr>
          <w:rFonts w:hint="eastAsia" w:ascii="宋体" w:hAnsi="宋体" w:eastAsia="宋体" w:cs="宋体"/>
          <w:highlight w:val="none"/>
          <w:lang w:val="en-US" w:eastAsia="zh-CN"/>
        </w:rPr>
        <w:t xml:space="preserve"> </w:t>
      </w:r>
      <w:r>
        <w:rPr>
          <w:rFonts w:hint="default" w:ascii="宋体" w:hAnsi="宋体" w:eastAsia="宋体" w:cs="宋体"/>
          <w:highlight w:val="none"/>
          <w:lang w:val="en-US" w:eastAsia="zh-CN"/>
        </w:rPr>
        <w:t>6679规定的方法取样。</w:t>
      </w:r>
    </w:p>
    <w:p w14:paraId="60771B80">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每批产品取样总量不应少于100</w:t>
      </w:r>
      <w:r>
        <w:rPr>
          <w:rFonts w:hint="default" w:ascii="Times New Roman" w:hAnsi="Times New Roman" w:eastAsia="宋体" w:cs="Times New Roman"/>
          <w:highlight w:val="none"/>
          <w:lang w:val="en-US" w:eastAsia="zh-CN"/>
        </w:rPr>
        <w:t xml:space="preserve"> </w:t>
      </w:r>
      <w:r>
        <w:rPr>
          <w:rFonts w:hint="default" w:ascii="宋体" w:hAnsi="宋体" w:eastAsia="宋体" w:cs="宋体"/>
          <w:highlight w:val="none"/>
          <w:lang w:val="en-US" w:eastAsia="zh-CN"/>
        </w:rPr>
        <w:t>g，混匀后分装于两个清洁干燥的棕色试剂瓶中，密封，粘贴标签，</w:t>
      </w: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注明</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产品名称、生产日期或批号、取样日期和取样人等。</w:t>
      </w:r>
    </w:p>
    <w:p w14:paraId="0ADD6D3A">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一份检验，一份留样。</w:t>
      </w:r>
    </w:p>
    <w:p w14:paraId="70AA831C">
      <w:pPr>
        <w:pStyle w:val="109"/>
        <w:spacing w:before="120" w:after="120"/>
        <w:rPr>
          <w:rFonts w:hint="default" w:hAnsi="Times New Roman" w:cs="Times New Roman"/>
          <w:szCs w:val="24"/>
          <w:highlight w:val="none"/>
          <w:lang w:val="en-US" w:eastAsia="zh-CN"/>
        </w:rPr>
      </w:pPr>
      <w:bookmarkStart w:id="81" w:name="_Toc4279"/>
      <w:r>
        <w:rPr>
          <w:rFonts w:hint="eastAsia" w:hAnsi="Times New Roman" w:cs="Times New Roman"/>
          <w:szCs w:val="24"/>
          <w:highlight w:val="none"/>
          <w:lang w:val="en-US" w:eastAsia="zh-CN"/>
        </w:rPr>
        <w:t>判定</w:t>
      </w:r>
      <w:bookmarkEnd w:id="81"/>
    </w:p>
    <w:p w14:paraId="3A27496C">
      <w:pPr>
        <w:pStyle w:val="60"/>
        <w:rPr>
          <w:rFonts w:hint="default" w:hAnsi="Times New Roman" w:cs="Times New Roman"/>
          <w:highlight w:val="none"/>
          <w:lang w:val="en-US" w:eastAsia="zh-CN"/>
        </w:rPr>
      </w:pPr>
      <w:r>
        <w:rPr>
          <w:rFonts w:hint="default" w:hAnsi="Times New Roman" w:cs="Times New Roman"/>
          <w:highlight w:val="none"/>
          <w:lang w:val="en-US" w:eastAsia="zh-CN"/>
        </w:rPr>
        <w:t>检验结果全部符合本标准要求时判定为合格。检验结果中若有指标不符合本标准要求时，应重新从同一批产品中加倍采样复检，复检结果全部符合本标准要求时，判定为合格。复检结果中仍有指标不符合本标准要求时，则判该批产品不合格。</w:t>
      </w:r>
    </w:p>
    <w:p w14:paraId="7954819F">
      <w:pPr>
        <w:pStyle w:val="108"/>
        <w:spacing w:before="240" w:after="240"/>
        <w:rPr>
          <w:rFonts w:hint="eastAsia"/>
          <w:highlight w:val="none"/>
          <w:lang w:val="en-US" w:eastAsia="zh-CN"/>
        </w:rPr>
      </w:pPr>
      <w:bookmarkStart w:id="82" w:name="_Toc1673"/>
      <w:r>
        <w:rPr>
          <w:rFonts w:hint="eastAsia"/>
          <w:highlight w:val="none"/>
          <w:lang w:val="en-US" w:eastAsia="zh-CN"/>
        </w:rPr>
        <w:t>安全应用规范</w:t>
      </w:r>
      <w:bookmarkEnd w:id="82"/>
    </w:p>
    <w:p w14:paraId="1D0B15A8">
      <w:pPr>
        <w:pStyle w:val="109"/>
        <w:spacing w:before="120" w:after="120"/>
        <w:rPr>
          <w:rFonts w:hint="eastAsia"/>
          <w:szCs w:val="24"/>
          <w:highlight w:val="none"/>
          <w:lang w:val="en-US" w:eastAsia="zh-CN"/>
        </w:rPr>
      </w:pPr>
      <w:bookmarkStart w:id="83" w:name="_Toc13762"/>
      <w:r>
        <w:rPr>
          <w:rFonts w:hint="eastAsia"/>
          <w:szCs w:val="24"/>
          <w:highlight w:val="none"/>
          <w:lang w:val="en-US" w:eastAsia="zh-CN"/>
        </w:rPr>
        <w:t>一般规定</w:t>
      </w:r>
      <w:bookmarkEnd w:id="83"/>
    </w:p>
    <w:p w14:paraId="011B1ECC">
      <w:pPr>
        <w:pStyle w:val="60"/>
        <w:rPr>
          <w:rFonts w:hint="eastAsia"/>
          <w:highlight w:val="none"/>
          <w:lang w:val="en-US" w:eastAsia="zh-CN"/>
        </w:rPr>
      </w:pPr>
      <w:r>
        <w:rPr>
          <w:rFonts w:hint="eastAsia"/>
          <w:highlight w:val="none"/>
          <w:lang w:val="en-US" w:eastAsia="zh-CN"/>
        </w:rPr>
        <w:t>回收碘产品应根据其质量等级应用于相应领域，使用单位应建立完善的碘使用管理制度，对操作人员进行专业培训，确保碘产品的安全使用。</w:t>
      </w:r>
    </w:p>
    <w:p w14:paraId="478AE44D">
      <w:pPr>
        <w:pStyle w:val="109"/>
        <w:spacing w:before="120" w:after="120"/>
        <w:rPr>
          <w:rFonts w:hint="default" w:hAnsi="Times New Roman" w:cs="Times New Roman"/>
          <w:szCs w:val="24"/>
          <w:highlight w:val="none"/>
          <w:lang w:val="en-US" w:eastAsia="zh-CN"/>
        </w:rPr>
      </w:pPr>
      <w:bookmarkStart w:id="84" w:name="_Toc3770"/>
      <w:r>
        <w:rPr>
          <w:rFonts w:hint="eastAsia" w:hAnsi="Times New Roman" w:cs="Times New Roman"/>
          <w:szCs w:val="24"/>
          <w:highlight w:val="none"/>
          <w:lang w:val="en-US" w:eastAsia="zh-CN"/>
        </w:rPr>
        <w:t>安全要求</w:t>
      </w:r>
      <w:bookmarkEnd w:id="84"/>
    </w:p>
    <w:p w14:paraId="4414C65E">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产品应密闭操作，提供充分的局部排风。</w:t>
      </w:r>
    </w:p>
    <w:p w14:paraId="709CC79E">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操作人员应经过专门培训，严格遵守操作规程。操作人员应佩戴自吸过滤式防尘口罩，戴化学安全防护眼镜，穿防毒物渗透工作服，戴橡胶手套。</w:t>
      </w:r>
    </w:p>
    <w:p w14:paraId="1EA83796">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应避免产生粉尘。</w:t>
      </w:r>
    </w:p>
    <w:p w14:paraId="0DF80E58">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应避免与氨、活性金属粉末接触。</w:t>
      </w:r>
    </w:p>
    <w:p w14:paraId="0E0FC653">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应配备泄漏应急处理设备。</w:t>
      </w:r>
    </w:p>
    <w:p w14:paraId="77F21BFD">
      <w:pPr>
        <w:pStyle w:val="108"/>
        <w:spacing w:before="240" w:after="240"/>
        <w:rPr>
          <w:rFonts w:hint="eastAsia"/>
          <w:szCs w:val="24"/>
          <w:highlight w:val="none"/>
          <w:lang w:val="en-US" w:eastAsia="zh-CN"/>
        </w:rPr>
      </w:pPr>
      <w:bookmarkStart w:id="85" w:name="_Toc17876"/>
      <w:r>
        <w:rPr>
          <w:rFonts w:hint="eastAsia"/>
          <w:szCs w:val="24"/>
          <w:highlight w:val="none"/>
          <w:lang w:val="en-US" w:eastAsia="zh-CN"/>
        </w:rPr>
        <w:t>标志、包装、运输和贮存</w:t>
      </w:r>
      <w:bookmarkEnd w:id="85"/>
    </w:p>
    <w:p w14:paraId="1278A223">
      <w:pPr>
        <w:pStyle w:val="109"/>
        <w:spacing w:before="120" w:after="120"/>
        <w:rPr>
          <w:rFonts w:hint="eastAsia"/>
          <w:szCs w:val="24"/>
          <w:highlight w:val="none"/>
          <w:lang w:val="en-US" w:eastAsia="zh-CN"/>
        </w:rPr>
      </w:pPr>
      <w:bookmarkStart w:id="86" w:name="_Toc8630"/>
      <w:bookmarkStart w:id="87" w:name="_Toc14514"/>
      <w:bookmarkStart w:id="88" w:name="BookMark8"/>
      <w:r>
        <w:rPr>
          <w:rFonts w:hint="eastAsia"/>
          <w:szCs w:val="24"/>
          <w:highlight w:val="none"/>
          <w:lang w:val="en-US" w:eastAsia="zh-CN"/>
        </w:rPr>
        <w:t>标志</w:t>
      </w:r>
      <w:bookmarkEnd w:id="86"/>
      <w:bookmarkEnd w:id="87"/>
    </w:p>
    <w:p w14:paraId="7CE9B3DB">
      <w:pPr>
        <w:pStyle w:val="60"/>
        <w:rPr>
          <w:rFonts w:hint="eastAsia"/>
          <w:highlight w:val="none"/>
          <w:lang w:val="en-US" w:eastAsia="zh-CN"/>
        </w:rPr>
      </w:pPr>
      <w:r>
        <w:rPr>
          <w:rFonts w:hint="eastAsia"/>
          <w:highlight w:val="none"/>
          <w:lang w:val="en-US" w:eastAsia="zh-CN"/>
        </w:rPr>
        <w:t>产品标志应符合GB/T 191和GB 15258的要求，产品外包装上还应有清晰牢固的标识，内容包括：</w:t>
      </w:r>
    </w:p>
    <w:p w14:paraId="4CF42CD8">
      <w:pPr>
        <w:pStyle w:val="178"/>
        <w:numPr>
          <w:ilvl w:val="0"/>
          <w:numId w:val="41"/>
        </w:numPr>
        <w:rPr>
          <w:rFonts w:hint="eastAsia" w:hAnsi="宋体" w:cs="宋体"/>
          <w:szCs w:val="24"/>
          <w:highlight w:val="none"/>
          <w:lang w:val="en-US" w:eastAsia="zh-CN"/>
        </w:rPr>
      </w:pPr>
      <w:r>
        <w:rPr>
          <w:rFonts w:hint="eastAsia" w:hAnsi="宋体" w:cs="宋体"/>
          <w:szCs w:val="24"/>
          <w:highlight w:val="none"/>
          <w:lang w:val="en-US" w:eastAsia="zh-CN"/>
        </w:rPr>
        <w:t>生产单位名称和地址；</w:t>
      </w:r>
    </w:p>
    <w:p w14:paraId="551B7C93">
      <w:pPr>
        <w:pStyle w:val="178"/>
        <w:numPr>
          <w:ilvl w:val="0"/>
          <w:numId w:val="41"/>
        </w:numPr>
        <w:rPr>
          <w:rFonts w:hint="eastAsia" w:hAnsi="宋体" w:cs="宋体"/>
          <w:szCs w:val="24"/>
          <w:highlight w:val="none"/>
          <w:lang w:val="en-US" w:eastAsia="zh-CN"/>
        </w:rPr>
      </w:pPr>
      <w:r>
        <w:rPr>
          <w:rFonts w:hint="eastAsia" w:hAnsi="宋体" w:cs="宋体"/>
          <w:szCs w:val="24"/>
          <w:highlight w:val="none"/>
          <w:lang w:val="en-US" w:eastAsia="zh-CN"/>
        </w:rPr>
        <w:t>产品名称；</w:t>
      </w:r>
    </w:p>
    <w:p w14:paraId="1C08260A">
      <w:pPr>
        <w:pStyle w:val="178"/>
        <w:numPr>
          <w:ilvl w:val="0"/>
          <w:numId w:val="41"/>
        </w:numPr>
        <w:rPr>
          <w:rFonts w:hint="eastAsia" w:hAnsi="宋体" w:cs="宋体"/>
          <w:szCs w:val="24"/>
          <w:highlight w:val="none"/>
          <w:lang w:val="en-US" w:eastAsia="zh-CN"/>
        </w:rPr>
      </w:pPr>
      <w:r>
        <w:rPr>
          <w:rFonts w:hint="eastAsia" w:hAnsi="宋体" w:cs="宋体"/>
          <w:szCs w:val="24"/>
          <w:highlight w:val="none"/>
          <w:lang w:val="en-US" w:eastAsia="zh-CN"/>
        </w:rPr>
        <w:t>生产日期或批号；</w:t>
      </w:r>
    </w:p>
    <w:p w14:paraId="6021C127">
      <w:pPr>
        <w:pStyle w:val="178"/>
        <w:numPr>
          <w:ilvl w:val="0"/>
          <w:numId w:val="41"/>
        </w:numPr>
        <w:rPr>
          <w:rFonts w:hint="eastAsia" w:hAnsi="宋体" w:cs="宋体"/>
          <w:szCs w:val="24"/>
          <w:highlight w:val="none"/>
          <w:lang w:val="en-US" w:eastAsia="zh-CN"/>
        </w:rPr>
      </w:pPr>
      <w:r>
        <w:rPr>
          <w:rFonts w:hint="eastAsia" w:hAnsi="宋体" w:cs="宋体"/>
          <w:szCs w:val="24"/>
          <w:highlight w:val="none"/>
          <w:lang w:val="en-US" w:eastAsia="zh-CN"/>
        </w:rPr>
        <w:t>净含量；</w:t>
      </w:r>
    </w:p>
    <w:p w14:paraId="10DB7C53">
      <w:pPr>
        <w:pStyle w:val="178"/>
        <w:numPr>
          <w:ilvl w:val="0"/>
          <w:numId w:val="41"/>
        </w:numPr>
        <w:rPr>
          <w:rFonts w:hint="eastAsia" w:hAnsi="宋体" w:cs="宋体"/>
          <w:szCs w:val="24"/>
          <w:highlight w:val="none"/>
          <w:lang w:val="en-US" w:eastAsia="zh-CN"/>
        </w:rPr>
      </w:pPr>
      <w:r>
        <w:rPr>
          <w:rFonts w:hint="eastAsia" w:hAnsi="宋体" w:cs="宋体"/>
          <w:szCs w:val="24"/>
          <w:highlight w:val="none"/>
          <w:lang w:val="en-US" w:eastAsia="zh-CN"/>
        </w:rPr>
        <w:t>本标准编号。</w:t>
      </w:r>
    </w:p>
    <w:p w14:paraId="4E17B2D1">
      <w:pPr>
        <w:pStyle w:val="109"/>
        <w:spacing w:before="120" w:after="120"/>
        <w:rPr>
          <w:rFonts w:hint="eastAsia"/>
          <w:szCs w:val="24"/>
          <w:highlight w:val="none"/>
          <w:lang w:val="en-US" w:eastAsia="zh-CN"/>
        </w:rPr>
      </w:pPr>
      <w:bookmarkStart w:id="89" w:name="_Toc20877"/>
      <w:bookmarkStart w:id="90" w:name="_Toc15623"/>
      <w:r>
        <w:rPr>
          <w:rFonts w:hint="eastAsia"/>
          <w:szCs w:val="24"/>
          <w:highlight w:val="none"/>
          <w:lang w:val="en-US" w:eastAsia="zh-CN"/>
        </w:rPr>
        <w:t>包装</w:t>
      </w:r>
      <w:bookmarkEnd w:id="89"/>
      <w:bookmarkEnd w:id="90"/>
    </w:p>
    <w:p w14:paraId="00C4EEEB">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bookmarkStart w:id="91" w:name="_Toc21234"/>
      <w:r>
        <w:rPr>
          <w:rFonts w:hint="eastAsia" w:ascii="宋体" w:hAnsi="宋体" w:eastAsia="宋体" w:cs="宋体"/>
          <w:highlight w:val="none"/>
          <w:lang w:val="en-US" w:eastAsia="zh-CN"/>
        </w:rPr>
        <w:t>回收碘产品应采用双层包装。</w:t>
      </w:r>
    </w:p>
    <w:p w14:paraId="3E258EC1">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包装容器应符合以下要求：</w:t>
      </w:r>
    </w:p>
    <w:p w14:paraId="7C0AE956">
      <w:pPr>
        <w:pStyle w:val="178"/>
        <w:keepNext w:val="0"/>
        <w:keepLines w:val="0"/>
        <w:pageBreakBefore w:val="0"/>
        <w:widowControl/>
        <w:numPr>
          <w:ilvl w:val="0"/>
          <w:numId w:val="42"/>
        </w:numPr>
        <w:kinsoku/>
        <w:wordWrap/>
        <w:overflowPunct/>
        <w:topLinePunct w:val="0"/>
        <w:autoSpaceDE/>
        <w:autoSpaceDN/>
        <w:bidi w:val="0"/>
        <w:adjustRightInd/>
        <w:snapToGrid/>
        <w:ind w:left="850" w:hanging="425"/>
        <w:textAlignment w:val="auto"/>
        <w:rPr>
          <w:rFonts w:hint="default" w:hAnsi="宋体" w:cs="宋体"/>
          <w:szCs w:val="24"/>
          <w:highlight w:val="none"/>
          <w:lang w:val="en-US" w:eastAsia="zh-CN"/>
        </w:rPr>
      </w:pPr>
      <w:r>
        <w:rPr>
          <w:rFonts w:hint="default" w:hAnsi="宋体" w:cs="宋体"/>
          <w:szCs w:val="24"/>
          <w:highlight w:val="none"/>
          <w:lang w:val="en-US" w:eastAsia="zh-CN"/>
        </w:rPr>
        <w:t>材质：应使用化学性质稳定、耐腐蚀、不透光的塑料材质。具体可选用：</w:t>
      </w:r>
    </w:p>
    <w:p w14:paraId="4B12E6C2">
      <w:pPr>
        <w:pStyle w:val="178"/>
        <w:keepNext w:val="0"/>
        <w:keepLines w:val="0"/>
        <w:pageBreakBefore w:val="0"/>
        <w:widowControl/>
        <w:numPr>
          <w:ilvl w:val="0"/>
          <w:numId w:val="43"/>
        </w:numPr>
        <w:kinsoku/>
        <w:wordWrap/>
        <w:overflowPunct/>
        <w:topLinePunct w:val="0"/>
        <w:autoSpaceDE/>
        <w:autoSpaceDN/>
        <w:bidi w:val="0"/>
        <w:adjustRightInd/>
        <w:snapToGrid/>
        <w:ind w:left="0" w:leftChars="0" w:firstLine="840" w:firstLineChars="400"/>
        <w:textAlignment w:val="auto"/>
        <w:rPr>
          <w:rFonts w:hint="default" w:hAnsi="宋体" w:cs="宋体"/>
          <w:szCs w:val="24"/>
          <w:highlight w:val="none"/>
          <w:lang w:val="en-US" w:eastAsia="zh-CN"/>
        </w:rPr>
      </w:pPr>
      <w:r>
        <w:rPr>
          <w:rFonts w:hint="default" w:hAnsi="宋体" w:cs="宋体"/>
          <w:szCs w:val="24"/>
          <w:highlight w:val="none"/>
          <w:lang w:val="en-US" w:eastAsia="zh-CN"/>
        </w:rPr>
        <w:t>高密度聚乙烯（HDPE），适用于固态碘的包装</w:t>
      </w:r>
      <w:r>
        <w:rPr>
          <w:rFonts w:hint="eastAsia" w:hAnsi="宋体" w:cs="宋体"/>
          <w:szCs w:val="24"/>
          <w:highlight w:val="none"/>
          <w:lang w:val="en-US" w:eastAsia="zh-CN"/>
        </w:rPr>
        <w:t>；</w:t>
      </w:r>
    </w:p>
    <w:p w14:paraId="695DB005">
      <w:pPr>
        <w:pStyle w:val="178"/>
        <w:keepNext w:val="0"/>
        <w:keepLines w:val="0"/>
        <w:pageBreakBefore w:val="0"/>
        <w:widowControl/>
        <w:numPr>
          <w:ilvl w:val="0"/>
          <w:numId w:val="43"/>
        </w:numPr>
        <w:kinsoku/>
        <w:wordWrap/>
        <w:overflowPunct/>
        <w:topLinePunct w:val="0"/>
        <w:autoSpaceDE/>
        <w:autoSpaceDN/>
        <w:bidi w:val="0"/>
        <w:adjustRightInd/>
        <w:snapToGrid/>
        <w:ind w:left="0" w:leftChars="0" w:firstLine="840" w:firstLineChars="400"/>
        <w:textAlignment w:val="auto"/>
        <w:rPr>
          <w:rFonts w:hint="default" w:hAnsi="宋体" w:cs="宋体"/>
          <w:szCs w:val="24"/>
          <w:highlight w:val="none"/>
          <w:lang w:val="en-US" w:eastAsia="zh-CN"/>
        </w:rPr>
      </w:pPr>
      <w:r>
        <w:rPr>
          <w:rFonts w:hint="default" w:hAnsi="宋体" w:cs="宋体"/>
          <w:szCs w:val="24"/>
          <w:highlight w:val="none"/>
          <w:lang w:val="en-US" w:eastAsia="zh-CN"/>
        </w:rPr>
        <w:t>聚丙烯（PP），适用于液态碘溶液或含碘废液的包装</w:t>
      </w:r>
      <w:r>
        <w:rPr>
          <w:rFonts w:hint="eastAsia" w:hAnsi="宋体" w:cs="宋体"/>
          <w:szCs w:val="24"/>
          <w:highlight w:val="none"/>
          <w:lang w:val="en-US" w:eastAsia="zh-CN"/>
        </w:rPr>
        <w:t>。</w:t>
      </w:r>
    </w:p>
    <w:p w14:paraId="373AE5EB">
      <w:pPr>
        <w:pStyle w:val="178"/>
        <w:numPr>
          <w:ilvl w:val="0"/>
          <w:numId w:val="42"/>
        </w:numPr>
        <w:rPr>
          <w:rFonts w:hint="default" w:hAnsi="宋体" w:cs="宋体"/>
          <w:szCs w:val="24"/>
          <w:highlight w:val="none"/>
          <w:lang w:val="en-US" w:eastAsia="zh-CN"/>
        </w:rPr>
      </w:pPr>
      <w:r>
        <w:rPr>
          <w:rFonts w:hint="default" w:hAnsi="宋体" w:cs="宋体"/>
          <w:szCs w:val="24"/>
          <w:highlight w:val="none"/>
          <w:lang w:val="en-US" w:eastAsia="zh-CN"/>
        </w:rPr>
        <w:t>若涉及特殊高纯度或高活性碘的长期贮存，其容器可内衬聚四氟乙烯（PTFE）</w:t>
      </w:r>
      <w:r>
        <w:rPr>
          <w:rFonts w:hint="eastAsia" w:hAnsi="宋体" w:cs="宋体"/>
          <w:szCs w:val="24"/>
          <w:highlight w:val="none"/>
          <w:lang w:val="en-US" w:eastAsia="zh-CN"/>
        </w:rPr>
        <w:t>；</w:t>
      </w:r>
    </w:p>
    <w:p w14:paraId="2A4036F6">
      <w:pPr>
        <w:pStyle w:val="178"/>
        <w:keepNext w:val="0"/>
        <w:keepLines w:val="0"/>
        <w:pageBreakBefore w:val="0"/>
        <w:widowControl/>
        <w:numPr>
          <w:ilvl w:val="0"/>
          <w:numId w:val="44"/>
        </w:numPr>
        <w:kinsoku/>
        <w:wordWrap/>
        <w:overflowPunct/>
        <w:topLinePunct w:val="0"/>
        <w:autoSpaceDE/>
        <w:autoSpaceDN/>
        <w:bidi w:val="0"/>
        <w:adjustRightInd/>
        <w:snapToGrid/>
        <w:ind w:left="0" w:leftChars="0" w:firstLine="840" w:firstLineChars="400"/>
        <w:textAlignment w:val="auto"/>
        <w:rPr>
          <w:rFonts w:hint="default" w:hAnsi="宋体" w:cs="宋体"/>
          <w:szCs w:val="24"/>
          <w:highlight w:val="none"/>
          <w:lang w:val="en-US" w:eastAsia="zh-CN"/>
        </w:rPr>
      </w:pPr>
      <w:r>
        <w:rPr>
          <w:rFonts w:hint="default" w:hAnsi="宋体" w:cs="宋体"/>
          <w:szCs w:val="24"/>
          <w:highlight w:val="none"/>
          <w:lang w:val="en-US" w:eastAsia="zh-CN"/>
        </w:rPr>
        <w:t>颜色：包装容器应为深色（如棕色、黑色），或在透明容器外加装有效的避光外包装</w:t>
      </w:r>
      <w:r>
        <w:rPr>
          <w:rFonts w:hint="eastAsia" w:hAnsi="宋体" w:cs="宋体"/>
          <w:szCs w:val="24"/>
          <w:highlight w:val="none"/>
          <w:lang w:val="en-US" w:eastAsia="zh-CN"/>
        </w:rPr>
        <w:t>；</w:t>
      </w:r>
    </w:p>
    <w:p w14:paraId="264AB4C4">
      <w:pPr>
        <w:pStyle w:val="178"/>
        <w:keepNext w:val="0"/>
        <w:keepLines w:val="0"/>
        <w:pageBreakBefore w:val="0"/>
        <w:widowControl/>
        <w:numPr>
          <w:ilvl w:val="0"/>
          <w:numId w:val="44"/>
        </w:numPr>
        <w:kinsoku/>
        <w:wordWrap/>
        <w:overflowPunct/>
        <w:topLinePunct w:val="0"/>
        <w:autoSpaceDE/>
        <w:autoSpaceDN/>
        <w:bidi w:val="0"/>
        <w:adjustRightInd/>
        <w:snapToGrid/>
        <w:ind w:left="0" w:leftChars="0" w:firstLine="840" w:firstLineChars="400"/>
        <w:textAlignment w:val="auto"/>
        <w:rPr>
          <w:rFonts w:hint="default" w:hAnsi="宋体" w:cs="宋体"/>
          <w:szCs w:val="24"/>
          <w:highlight w:val="none"/>
          <w:lang w:val="en-US" w:eastAsia="zh-CN"/>
        </w:rPr>
      </w:pPr>
      <w:r>
        <w:rPr>
          <w:rFonts w:hint="default" w:hAnsi="宋体" w:cs="宋体"/>
          <w:szCs w:val="24"/>
          <w:highlight w:val="none"/>
          <w:lang w:val="en-US" w:eastAsia="zh-CN"/>
        </w:rPr>
        <w:t>密封性：所有包装容器应具备可靠的气密性密封结构，防止碘蒸气逸散和外部物质侵入。</w:t>
      </w:r>
    </w:p>
    <w:p w14:paraId="1726ABA6">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外包装应坚固、密封、防潮。包装材料不应与碘发生反应。</w:t>
      </w:r>
    </w:p>
    <w:p w14:paraId="3AE4B3DE">
      <w:pPr>
        <w:pStyle w:val="109"/>
        <w:spacing w:before="120" w:after="120"/>
        <w:rPr>
          <w:rFonts w:hint="eastAsia"/>
          <w:szCs w:val="24"/>
          <w:highlight w:val="none"/>
          <w:lang w:val="en-US" w:eastAsia="zh-CN"/>
        </w:rPr>
      </w:pPr>
      <w:bookmarkStart w:id="92" w:name="_Toc26855"/>
      <w:r>
        <w:rPr>
          <w:rFonts w:hint="eastAsia"/>
          <w:szCs w:val="24"/>
          <w:highlight w:val="none"/>
          <w:lang w:val="en-US" w:eastAsia="zh-CN"/>
        </w:rPr>
        <w:t>运输</w:t>
      </w:r>
      <w:bookmarkEnd w:id="91"/>
      <w:bookmarkEnd w:id="92"/>
    </w:p>
    <w:p w14:paraId="2475D2A2">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bookmarkStart w:id="93" w:name="_Toc21428"/>
      <w:r>
        <w:rPr>
          <w:rFonts w:hint="eastAsia" w:ascii="宋体" w:hAnsi="宋体" w:eastAsia="宋体" w:cs="宋体"/>
          <w:highlight w:val="none"/>
          <w:lang w:val="en-US" w:eastAsia="zh-CN"/>
        </w:rPr>
        <w:t>产品运输过程中要轻装轻卸，防止包装破损，确保容器不泄露。</w:t>
      </w:r>
    </w:p>
    <w:p w14:paraId="2DEF3F5D">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严禁与氨、活性金属粉末、食用化学品等混装混运。</w:t>
      </w:r>
    </w:p>
    <w:p w14:paraId="202F0680">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应避光，防雨淋、防高温。</w:t>
      </w:r>
    </w:p>
    <w:p w14:paraId="78B74EC6">
      <w:pPr>
        <w:pStyle w:val="109"/>
        <w:spacing w:before="120" w:after="120"/>
        <w:rPr>
          <w:rFonts w:hint="default"/>
          <w:szCs w:val="24"/>
          <w:highlight w:val="none"/>
          <w:lang w:val="en-US" w:eastAsia="zh-CN"/>
        </w:rPr>
      </w:pPr>
      <w:bookmarkStart w:id="94" w:name="_Toc2970"/>
      <w:r>
        <w:rPr>
          <w:rFonts w:hint="eastAsia"/>
          <w:szCs w:val="24"/>
          <w:highlight w:val="none"/>
          <w:lang w:val="en-US" w:eastAsia="zh-CN"/>
        </w:rPr>
        <w:t>贮存</w:t>
      </w:r>
      <w:bookmarkEnd w:id="93"/>
      <w:bookmarkEnd w:id="94"/>
    </w:p>
    <w:bookmarkEnd w:id="28"/>
    <w:bookmarkEnd w:id="88"/>
    <w:p w14:paraId="23B316C2">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产品应贮存于阴凉、通风、避光的库房内。</w:t>
      </w:r>
    </w:p>
    <w:p w14:paraId="4299B102">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远离火种、热源，应与氨、活性金属粉末等分开存放，切忌混贮。</w:t>
      </w:r>
    </w:p>
    <w:p w14:paraId="4D442CCE">
      <w:pPr>
        <w:pStyle w:val="69"/>
        <w:keepNext w:val="0"/>
        <w:keepLines w:val="0"/>
        <w:pageBreakBefore w:val="0"/>
        <w:widowControl w:val="0"/>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贮存区应备有合适的材料收容泄漏物。</w:t>
      </w:r>
    </w:p>
    <w:p w14:paraId="483DA4BC">
      <w:pPr>
        <w:jc w:val="center"/>
      </w:pPr>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2">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p>
    <w:p w14:paraId="668E5596">
      <w:pPr>
        <w:bidi w:val="0"/>
        <w:rPr>
          <w:rFonts w:ascii="Calibri" w:hAnsi="Calibri" w:eastAsia="宋体" w:cs="Times New Roman"/>
          <w:kern w:val="2"/>
          <w:sz w:val="21"/>
          <w:szCs w:val="21"/>
          <w:lang w:val="en-US" w:eastAsia="zh-CN" w:bidi="ar-SA"/>
        </w:rPr>
      </w:pPr>
    </w:p>
    <w:p w14:paraId="0B946F1C">
      <w:pPr>
        <w:bidi w:val="0"/>
        <w:rPr>
          <w:lang w:val="en-US" w:eastAsia="zh-CN"/>
        </w:rPr>
      </w:pPr>
    </w:p>
    <w:p w14:paraId="638BC46F">
      <w:pPr>
        <w:widowControl w:val="0"/>
        <w:adjustRightInd w:val="0"/>
        <w:spacing w:beforeLines="0" w:after="0" w:afterLines="0" w:line="400" w:lineRule="exact"/>
        <w:jc w:val="both"/>
        <w:rPr>
          <w:lang w:val="en-US" w:eastAsia="zh-CN"/>
        </w:rPr>
      </w:pPr>
    </w:p>
    <w:sectPr>
      <w:headerReference r:id="rId16" w:type="default"/>
      <w:footerReference r:id="rId18" w:type="default"/>
      <w:headerReference r:id="rId17" w:type="even"/>
      <w:footerReference r:id="rId19" w:type="even"/>
      <w:pgSz w:w="11906" w:h="16838"/>
      <w:pgMar w:top="1928" w:right="1134" w:bottom="1134" w:left="1134" w:header="1418" w:footer="1134" w:gutter="283"/>
      <w:pgBorders>
        <w:top w:val="none" w:sz="0" w:space="0"/>
        <w:left w:val="none" w:sz="0" w:space="0"/>
        <w:bottom w:val="none" w:sz="0" w:space="0"/>
        <w:right w:val="none" w:sz="0" w:space="0"/>
      </w:pgBorders>
      <w:pgNumType w:fmt="decimal"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3A7BB">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7C928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B7C928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253AE">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87022">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26D277BC">
                              <w:pPr>
                                <w:pStyle w:val="18"/>
                              </w:pPr>
                              <w:r>
                                <w:fldChar w:fldCharType="begin"/>
                              </w:r>
                              <w:r>
                                <w:instrText xml:space="preserve">PAGE   \* MERGEFORMAT</w:instrText>
                              </w:r>
                              <w:r>
                                <w:fldChar w:fldCharType="separate"/>
                              </w:r>
                              <w:r>
                                <w:rPr>
                                  <w:lang w:val="zh-CN"/>
                                </w:rPr>
                                <w:t>2</w:t>
                              </w:r>
                              <w:r>
                                <w:fldChar w:fldCharType="end"/>
                              </w:r>
                            </w:p>
                          </w:sdtContent>
                        </w:sdt>
                        <w:p w14:paraId="734826D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26D277BC">
                        <w:pPr>
                          <w:pStyle w:val="18"/>
                        </w:pPr>
                        <w:r>
                          <w:fldChar w:fldCharType="begin"/>
                        </w:r>
                        <w:r>
                          <w:instrText xml:space="preserve">PAGE   \* MERGEFORMAT</w:instrText>
                        </w:r>
                        <w:r>
                          <w:fldChar w:fldCharType="separate"/>
                        </w:r>
                        <w:r>
                          <w:rPr>
                            <w:lang w:val="zh-CN"/>
                          </w:rPr>
                          <w:t>2</w:t>
                        </w:r>
                        <w:r>
                          <w:fldChar w:fldCharType="end"/>
                        </w:r>
                      </w:p>
                    </w:sdtContent>
                  </w:sdt>
                  <w:p w14:paraId="734826D5"/>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C90D3">
    <w:pPr>
      <w:pStyle w:val="18"/>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858CE">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73858CE">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CAC9E">
    <w:pPr>
      <w:pStyle w:val="18"/>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2625B0A6">
                              <w:pPr>
                                <w:pStyle w:val="18"/>
                              </w:pPr>
                              <w:r>
                                <w:fldChar w:fldCharType="begin"/>
                              </w:r>
                              <w:r>
                                <w:instrText xml:space="preserve">PAGE   \* MERGEFORMAT</w:instrText>
                              </w:r>
                              <w:r>
                                <w:fldChar w:fldCharType="separate"/>
                              </w:r>
                              <w:r>
                                <w:rPr>
                                  <w:lang w:val="zh-CN"/>
                                </w:rPr>
                                <w:t>2</w:t>
                              </w:r>
                              <w:r>
                                <w:fldChar w:fldCharType="end"/>
                              </w:r>
                            </w:p>
                          </w:sdtContent>
                        </w:sdt>
                        <w:p w14:paraId="0EF68A7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2625B0A6">
                        <w:pPr>
                          <w:pStyle w:val="18"/>
                        </w:pPr>
                        <w:r>
                          <w:fldChar w:fldCharType="begin"/>
                        </w:r>
                        <w:r>
                          <w:instrText xml:space="preserve">PAGE   \* MERGEFORMAT</w:instrText>
                        </w:r>
                        <w:r>
                          <w:fldChar w:fldCharType="separate"/>
                        </w:r>
                        <w:r>
                          <w:rPr>
                            <w:lang w:val="zh-CN"/>
                          </w:rPr>
                          <w:t>2</w:t>
                        </w:r>
                        <w:r>
                          <w:fldChar w:fldCharType="end"/>
                        </w:r>
                      </w:p>
                    </w:sdtContent>
                  </w:sdt>
                  <w:p w14:paraId="0EF68A74"/>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19262">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F7D2D">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55F7D2D">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0A521">
    <w:pPr>
      <w:pStyle w:val="56"/>
      <w:tabs>
        <w:tab w:val="left" w:pos="5209"/>
      </w:tabs>
      <w:jc w:val="left"/>
      <w:rPr>
        <w:rFonts w:hint="eastAsia" w:eastAsia="宋体"/>
        <w:lang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BA74E">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AABA74E">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9CBE9">
    <w:pPr>
      <w:pStyle w:val="18"/>
      <w:jc w:val="left"/>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2EE2C">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242EE2C">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60ABE">
    <w:pPr>
      <w:pStyle w:val="19"/>
      <w:jc w:val="right"/>
      <w:rPr>
        <w:rFonts w:hint="eastAsia"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6D142">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A1E8B">
    <w:pPr>
      <w:pStyle w:val="19"/>
      <w:jc w:val="righ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XXXX—2026</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9E420">
    <w:pPr>
      <w:pStyle w:val="19"/>
      <w:jc w:val="righ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775B2">
    <w:pPr>
      <w:pStyle w:val="19"/>
      <w:jc w:val="righ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A98A6">
    <w:pPr>
      <w:pStyle w:val="65"/>
      <w:rPr>
        <w:rFonts w:hint="eastAsia" w:hAnsi="黑体" w:cs="黑体"/>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XXXX—2026</w:t>
    </w:r>
    <w:r>
      <w:rPr>
        <w:rFonts w:ascii="黑体" w:hAnsi="黑体" w:eastAsia="黑体"/>
        <w:sz w:val="21"/>
        <w:szCs w:val="21"/>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864C3">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6"/>
      <w:suff w:val="nothing"/>
      <w:lvlText w:val="表%1　"/>
      <w:lvlJc w:val="left"/>
      <w:pPr>
        <w:ind w:left="-31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18CFE5D"/>
    <w:multiLevelType w:val="singleLevel"/>
    <w:tmpl w:val="118CFE5D"/>
    <w:lvl w:ilvl="0" w:tentative="0">
      <w:start w:val="1"/>
      <w:numFmt w:val="decimal"/>
      <w:lvlText w:val="%1)"/>
      <w:lvlJc w:val="left"/>
      <w:pPr>
        <w:ind w:left="425" w:hanging="425"/>
      </w:pPr>
      <w:rPr>
        <w:rFonts w:hint="default"/>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5">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8">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4E8C0553"/>
    <w:multiLevelType w:val="singleLevel"/>
    <w:tmpl w:val="4E8C0553"/>
    <w:lvl w:ilvl="0" w:tentative="0">
      <w:start w:val="1"/>
      <w:numFmt w:val="decimal"/>
      <w:lvlText w:val="%1)"/>
      <w:lvlJc w:val="left"/>
      <w:pPr>
        <w:ind w:left="425" w:hanging="425"/>
      </w:pPr>
      <w:rPr>
        <w:rFonts w:hint="default"/>
      </w:rPr>
    </w:lvl>
  </w:abstractNum>
  <w:abstractNum w:abstractNumId="20">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1">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3">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6">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7">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9">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2">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3">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4">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1"/>
  </w:num>
  <w:num w:numId="3">
    <w:abstractNumId w:val="7"/>
  </w:num>
  <w:num w:numId="4">
    <w:abstractNumId w:val="27"/>
  </w:num>
  <w:num w:numId="5">
    <w:abstractNumId w:val="22"/>
  </w:num>
  <w:num w:numId="6">
    <w:abstractNumId w:val="16"/>
  </w:num>
  <w:num w:numId="7">
    <w:abstractNumId w:val="11"/>
  </w:num>
  <w:num w:numId="8">
    <w:abstractNumId w:val="4"/>
  </w:num>
  <w:num w:numId="9">
    <w:abstractNumId w:val="12"/>
  </w:num>
  <w:num w:numId="10">
    <w:abstractNumId w:val="20"/>
  </w:num>
  <w:num w:numId="11">
    <w:abstractNumId w:val="29"/>
  </w:num>
  <w:num w:numId="12">
    <w:abstractNumId w:val="14"/>
  </w:num>
  <w:num w:numId="13">
    <w:abstractNumId w:val="15"/>
  </w:num>
  <w:num w:numId="14">
    <w:abstractNumId w:val="10"/>
  </w:num>
  <w:num w:numId="15">
    <w:abstractNumId w:val="23"/>
  </w:num>
  <w:num w:numId="16">
    <w:abstractNumId w:val="0"/>
  </w:num>
  <w:num w:numId="17">
    <w:abstractNumId w:val="21"/>
  </w:num>
  <w:num w:numId="18">
    <w:abstractNumId w:val="33"/>
  </w:num>
  <w:num w:numId="19">
    <w:abstractNumId w:val="18"/>
  </w:num>
  <w:num w:numId="20">
    <w:abstractNumId w:val="2"/>
  </w:num>
  <w:num w:numId="21">
    <w:abstractNumId w:val="13"/>
  </w:num>
  <w:num w:numId="22">
    <w:abstractNumId w:val="34"/>
  </w:num>
  <w:num w:numId="23">
    <w:abstractNumId w:val="25"/>
  </w:num>
  <w:num w:numId="24">
    <w:abstractNumId w:val="8"/>
  </w:num>
  <w:num w:numId="25">
    <w:abstractNumId w:val="30"/>
  </w:num>
  <w:num w:numId="26">
    <w:abstractNumId w:val="32"/>
  </w:num>
  <w:num w:numId="27">
    <w:abstractNumId w:val="3"/>
  </w:num>
  <w:num w:numId="28">
    <w:abstractNumId w:val="6"/>
  </w:num>
  <w:num w:numId="29">
    <w:abstractNumId w:val="17"/>
  </w:num>
  <w:num w:numId="30">
    <w:abstractNumId w:val="28"/>
  </w:num>
  <w:num w:numId="31">
    <w:abstractNumId w:val="26"/>
  </w:num>
  <w:num w:numId="32">
    <w:abstractNumId w:val="24"/>
  </w:num>
  <w:num w:numId="33">
    <w:abstractNumId w:val="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ODJkNzQwY2M2YTZkZTQyZTNmNTAyMTFlZTM3YjQ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0B9"/>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2CF"/>
    <w:rsid w:val="0016770A"/>
    <w:rsid w:val="00167C6F"/>
    <w:rsid w:val="00167E5D"/>
    <w:rsid w:val="00170804"/>
    <w:rsid w:val="001708E9"/>
    <w:rsid w:val="00172A27"/>
    <w:rsid w:val="00172E5F"/>
    <w:rsid w:val="0017340B"/>
    <w:rsid w:val="0017370A"/>
    <w:rsid w:val="00173FB1"/>
    <w:rsid w:val="00176DFD"/>
    <w:rsid w:val="0018198D"/>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779"/>
    <w:rsid w:val="002B6E30"/>
    <w:rsid w:val="002B7332"/>
    <w:rsid w:val="002B7F51"/>
    <w:rsid w:val="002C09E7"/>
    <w:rsid w:val="002C1E06"/>
    <w:rsid w:val="002C3F07"/>
    <w:rsid w:val="002C5278"/>
    <w:rsid w:val="002C7EBB"/>
    <w:rsid w:val="002D06C1"/>
    <w:rsid w:val="002D42B5"/>
    <w:rsid w:val="002D4ADB"/>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56CB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C0"/>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5AE1"/>
    <w:rsid w:val="003E660F"/>
    <w:rsid w:val="003F0841"/>
    <w:rsid w:val="003F1E41"/>
    <w:rsid w:val="003F23D3"/>
    <w:rsid w:val="003F336F"/>
    <w:rsid w:val="003F3F08"/>
    <w:rsid w:val="003F49F1"/>
    <w:rsid w:val="003F6272"/>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65FB2"/>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6D3D"/>
    <w:rsid w:val="00651ACB"/>
    <w:rsid w:val="00651C47"/>
    <w:rsid w:val="00652AB2"/>
    <w:rsid w:val="00653FED"/>
    <w:rsid w:val="00654292"/>
    <w:rsid w:val="00654EC0"/>
    <w:rsid w:val="0065525B"/>
    <w:rsid w:val="006552A2"/>
    <w:rsid w:val="00655D4F"/>
    <w:rsid w:val="00656D29"/>
    <w:rsid w:val="00657245"/>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C61"/>
    <w:rsid w:val="0077008A"/>
    <w:rsid w:val="00773C1F"/>
    <w:rsid w:val="00774DA4"/>
    <w:rsid w:val="007755D8"/>
    <w:rsid w:val="00776571"/>
    <w:rsid w:val="00776599"/>
    <w:rsid w:val="00777411"/>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C13"/>
    <w:rsid w:val="008454F8"/>
    <w:rsid w:val="00845E27"/>
    <w:rsid w:val="00846636"/>
    <w:rsid w:val="0085173A"/>
    <w:rsid w:val="00851F4E"/>
    <w:rsid w:val="0085405F"/>
    <w:rsid w:val="008563AD"/>
    <w:rsid w:val="008603CE"/>
    <w:rsid w:val="008620FC"/>
    <w:rsid w:val="0086213F"/>
    <w:rsid w:val="008627A5"/>
    <w:rsid w:val="00863E05"/>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6A6B"/>
    <w:rsid w:val="00A07E47"/>
    <w:rsid w:val="00A110A1"/>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2880"/>
    <w:rsid w:val="00B758BF"/>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7CC"/>
    <w:rsid w:val="00EB4874"/>
    <w:rsid w:val="00EB5EDF"/>
    <w:rsid w:val="00EB60FE"/>
    <w:rsid w:val="00EB74DB"/>
    <w:rsid w:val="00EB77EB"/>
    <w:rsid w:val="00EC5359"/>
    <w:rsid w:val="00EC562A"/>
    <w:rsid w:val="00ED067A"/>
    <w:rsid w:val="00ED126D"/>
    <w:rsid w:val="00ED1575"/>
    <w:rsid w:val="00ED2B50"/>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637"/>
    <w:rsid w:val="00EF7E72"/>
    <w:rsid w:val="00F00967"/>
    <w:rsid w:val="00F030FB"/>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3C5A"/>
    <w:rsid w:val="00F23F44"/>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348D"/>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107F8E"/>
    <w:rsid w:val="0128283B"/>
    <w:rsid w:val="01565C22"/>
    <w:rsid w:val="016B230B"/>
    <w:rsid w:val="01CC3898"/>
    <w:rsid w:val="021C6002"/>
    <w:rsid w:val="02535CBD"/>
    <w:rsid w:val="028602BA"/>
    <w:rsid w:val="03443777"/>
    <w:rsid w:val="036208AE"/>
    <w:rsid w:val="03C10461"/>
    <w:rsid w:val="03CF7FB4"/>
    <w:rsid w:val="046048F9"/>
    <w:rsid w:val="04722FB1"/>
    <w:rsid w:val="049F343C"/>
    <w:rsid w:val="04A9786D"/>
    <w:rsid w:val="04BE021D"/>
    <w:rsid w:val="05040564"/>
    <w:rsid w:val="05575CB1"/>
    <w:rsid w:val="055E62CD"/>
    <w:rsid w:val="05DE7F94"/>
    <w:rsid w:val="06537525"/>
    <w:rsid w:val="06604E4C"/>
    <w:rsid w:val="06827A54"/>
    <w:rsid w:val="06C867AC"/>
    <w:rsid w:val="06E17D3B"/>
    <w:rsid w:val="071F7EBF"/>
    <w:rsid w:val="073F557B"/>
    <w:rsid w:val="07B13BB2"/>
    <w:rsid w:val="07C4574A"/>
    <w:rsid w:val="07CC09EB"/>
    <w:rsid w:val="07CF32A0"/>
    <w:rsid w:val="07EE15C9"/>
    <w:rsid w:val="08AC405F"/>
    <w:rsid w:val="08B74B9E"/>
    <w:rsid w:val="095F318E"/>
    <w:rsid w:val="09887487"/>
    <w:rsid w:val="09DC6F79"/>
    <w:rsid w:val="0A2B694C"/>
    <w:rsid w:val="0A6F1B02"/>
    <w:rsid w:val="0A7F7F97"/>
    <w:rsid w:val="0AB01E77"/>
    <w:rsid w:val="0ABC186F"/>
    <w:rsid w:val="0AD927F5"/>
    <w:rsid w:val="0AE41CEE"/>
    <w:rsid w:val="0AE53B72"/>
    <w:rsid w:val="0B0009AC"/>
    <w:rsid w:val="0B160016"/>
    <w:rsid w:val="0B330D82"/>
    <w:rsid w:val="0B41054B"/>
    <w:rsid w:val="0B9F3D21"/>
    <w:rsid w:val="0BEC01FF"/>
    <w:rsid w:val="0D42705A"/>
    <w:rsid w:val="0D611BD6"/>
    <w:rsid w:val="0D9F2963"/>
    <w:rsid w:val="0DB83E84"/>
    <w:rsid w:val="0DC25855"/>
    <w:rsid w:val="0DE7165B"/>
    <w:rsid w:val="0DF92677"/>
    <w:rsid w:val="0E325320"/>
    <w:rsid w:val="0E721A6C"/>
    <w:rsid w:val="0E8F26AA"/>
    <w:rsid w:val="0EBC4442"/>
    <w:rsid w:val="0F1D7D7F"/>
    <w:rsid w:val="0F207E9C"/>
    <w:rsid w:val="0F751969"/>
    <w:rsid w:val="0F7C616D"/>
    <w:rsid w:val="0FA05586"/>
    <w:rsid w:val="0FED7751"/>
    <w:rsid w:val="10355BFE"/>
    <w:rsid w:val="10450F39"/>
    <w:rsid w:val="10594DE6"/>
    <w:rsid w:val="10622C32"/>
    <w:rsid w:val="1066305F"/>
    <w:rsid w:val="10845623"/>
    <w:rsid w:val="11AA3420"/>
    <w:rsid w:val="11C053A5"/>
    <w:rsid w:val="126B3D39"/>
    <w:rsid w:val="12A165D1"/>
    <w:rsid w:val="12F71599"/>
    <w:rsid w:val="1312127D"/>
    <w:rsid w:val="13197E77"/>
    <w:rsid w:val="13204ECA"/>
    <w:rsid w:val="13680331"/>
    <w:rsid w:val="1393721B"/>
    <w:rsid w:val="13BC7950"/>
    <w:rsid w:val="13C44583"/>
    <w:rsid w:val="13C54020"/>
    <w:rsid w:val="13F44F3A"/>
    <w:rsid w:val="14983A03"/>
    <w:rsid w:val="149E0984"/>
    <w:rsid w:val="14A57A81"/>
    <w:rsid w:val="15306924"/>
    <w:rsid w:val="15471EB5"/>
    <w:rsid w:val="155729BE"/>
    <w:rsid w:val="15831632"/>
    <w:rsid w:val="159D637A"/>
    <w:rsid w:val="15FE40E3"/>
    <w:rsid w:val="16A63835"/>
    <w:rsid w:val="16C07E56"/>
    <w:rsid w:val="16C161BA"/>
    <w:rsid w:val="17536547"/>
    <w:rsid w:val="176009A1"/>
    <w:rsid w:val="17671E03"/>
    <w:rsid w:val="17771FF6"/>
    <w:rsid w:val="17842753"/>
    <w:rsid w:val="17F453F5"/>
    <w:rsid w:val="17FF1243"/>
    <w:rsid w:val="18082BBE"/>
    <w:rsid w:val="183323C1"/>
    <w:rsid w:val="183F7F5C"/>
    <w:rsid w:val="18E526BB"/>
    <w:rsid w:val="18F4305E"/>
    <w:rsid w:val="18FA6A3B"/>
    <w:rsid w:val="194D60BD"/>
    <w:rsid w:val="19596BEB"/>
    <w:rsid w:val="196770E7"/>
    <w:rsid w:val="198E3D89"/>
    <w:rsid w:val="19E80F89"/>
    <w:rsid w:val="1A347CEF"/>
    <w:rsid w:val="1A7D5B75"/>
    <w:rsid w:val="1A8268CC"/>
    <w:rsid w:val="1ABD41C4"/>
    <w:rsid w:val="1ADF42B2"/>
    <w:rsid w:val="1AEC0ACF"/>
    <w:rsid w:val="1B03673C"/>
    <w:rsid w:val="1B3567E1"/>
    <w:rsid w:val="1B375D24"/>
    <w:rsid w:val="1B430B6D"/>
    <w:rsid w:val="1B570174"/>
    <w:rsid w:val="1B886580"/>
    <w:rsid w:val="1BFB594B"/>
    <w:rsid w:val="1C0A25F3"/>
    <w:rsid w:val="1CBD1C9E"/>
    <w:rsid w:val="1CC849BD"/>
    <w:rsid w:val="1D247334"/>
    <w:rsid w:val="1DA82F09"/>
    <w:rsid w:val="1DB042FE"/>
    <w:rsid w:val="1DBC451B"/>
    <w:rsid w:val="1E5906A7"/>
    <w:rsid w:val="1E663B54"/>
    <w:rsid w:val="1E783D88"/>
    <w:rsid w:val="1EA41285"/>
    <w:rsid w:val="1F086C28"/>
    <w:rsid w:val="1F555E3E"/>
    <w:rsid w:val="1F661DDA"/>
    <w:rsid w:val="1F6E1F30"/>
    <w:rsid w:val="1F7107DB"/>
    <w:rsid w:val="1FC14756"/>
    <w:rsid w:val="1FC617AE"/>
    <w:rsid w:val="1FE225D0"/>
    <w:rsid w:val="206B3938"/>
    <w:rsid w:val="20A86893"/>
    <w:rsid w:val="20B52864"/>
    <w:rsid w:val="20E4055B"/>
    <w:rsid w:val="20EC5803"/>
    <w:rsid w:val="2115671A"/>
    <w:rsid w:val="212A2D00"/>
    <w:rsid w:val="21470C8B"/>
    <w:rsid w:val="21D249F9"/>
    <w:rsid w:val="21D30729"/>
    <w:rsid w:val="22E9024C"/>
    <w:rsid w:val="22FE5379"/>
    <w:rsid w:val="234424ED"/>
    <w:rsid w:val="235A2EF8"/>
    <w:rsid w:val="23952182"/>
    <w:rsid w:val="23D305B4"/>
    <w:rsid w:val="23DE58D7"/>
    <w:rsid w:val="23F5050A"/>
    <w:rsid w:val="245C2C9F"/>
    <w:rsid w:val="24671BC8"/>
    <w:rsid w:val="24A90A9D"/>
    <w:rsid w:val="24D454F7"/>
    <w:rsid w:val="24DB3744"/>
    <w:rsid w:val="25047891"/>
    <w:rsid w:val="25096CBD"/>
    <w:rsid w:val="25337C06"/>
    <w:rsid w:val="256F74FA"/>
    <w:rsid w:val="25710A7C"/>
    <w:rsid w:val="25D32AED"/>
    <w:rsid w:val="25E66CC5"/>
    <w:rsid w:val="261C4494"/>
    <w:rsid w:val="26213859"/>
    <w:rsid w:val="264D0C35"/>
    <w:rsid w:val="265E685B"/>
    <w:rsid w:val="26702EEC"/>
    <w:rsid w:val="269D6758"/>
    <w:rsid w:val="269E134D"/>
    <w:rsid w:val="26B8706F"/>
    <w:rsid w:val="26F176C4"/>
    <w:rsid w:val="27765E26"/>
    <w:rsid w:val="27ED736F"/>
    <w:rsid w:val="27F03E2A"/>
    <w:rsid w:val="280E0516"/>
    <w:rsid w:val="285C326E"/>
    <w:rsid w:val="28874A54"/>
    <w:rsid w:val="28C50E13"/>
    <w:rsid w:val="28D66BE1"/>
    <w:rsid w:val="28E012E6"/>
    <w:rsid w:val="28E374EB"/>
    <w:rsid w:val="294E1641"/>
    <w:rsid w:val="2B0752C2"/>
    <w:rsid w:val="2B7B0FC3"/>
    <w:rsid w:val="2B8A210F"/>
    <w:rsid w:val="2C8E4833"/>
    <w:rsid w:val="2CAB5E37"/>
    <w:rsid w:val="2CBD1FBC"/>
    <w:rsid w:val="2D0C54CA"/>
    <w:rsid w:val="2D1D450D"/>
    <w:rsid w:val="2D5704A8"/>
    <w:rsid w:val="2D5B4C0F"/>
    <w:rsid w:val="2D8361C2"/>
    <w:rsid w:val="2D886644"/>
    <w:rsid w:val="2DDE64D3"/>
    <w:rsid w:val="2E3D6D05"/>
    <w:rsid w:val="2EBC05C2"/>
    <w:rsid w:val="2EE6563F"/>
    <w:rsid w:val="2F2B399A"/>
    <w:rsid w:val="2FAD0853"/>
    <w:rsid w:val="2FC55B9D"/>
    <w:rsid w:val="307D1FD3"/>
    <w:rsid w:val="30D36097"/>
    <w:rsid w:val="310C0943"/>
    <w:rsid w:val="31391E91"/>
    <w:rsid w:val="31735C22"/>
    <w:rsid w:val="31B9703B"/>
    <w:rsid w:val="31DC20C5"/>
    <w:rsid w:val="326516AD"/>
    <w:rsid w:val="32A52E8C"/>
    <w:rsid w:val="32A93554"/>
    <w:rsid w:val="32E75B37"/>
    <w:rsid w:val="32FB3538"/>
    <w:rsid w:val="342D6CBE"/>
    <w:rsid w:val="347100A1"/>
    <w:rsid w:val="34765BB4"/>
    <w:rsid w:val="34822A84"/>
    <w:rsid w:val="34D21E6E"/>
    <w:rsid w:val="34DA79F4"/>
    <w:rsid w:val="35092088"/>
    <w:rsid w:val="357A11D7"/>
    <w:rsid w:val="35C3186F"/>
    <w:rsid w:val="35FF0C00"/>
    <w:rsid w:val="362D65AD"/>
    <w:rsid w:val="36C70C99"/>
    <w:rsid w:val="36F54252"/>
    <w:rsid w:val="375D7A2B"/>
    <w:rsid w:val="37E74DD8"/>
    <w:rsid w:val="380A119C"/>
    <w:rsid w:val="385C1F3E"/>
    <w:rsid w:val="385E290A"/>
    <w:rsid w:val="38F80803"/>
    <w:rsid w:val="39186D3D"/>
    <w:rsid w:val="39C40C73"/>
    <w:rsid w:val="39C57AFA"/>
    <w:rsid w:val="39D37108"/>
    <w:rsid w:val="39E353D5"/>
    <w:rsid w:val="3A3140B0"/>
    <w:rsid w:val="3A737350"/>
    <w:rsid w:val="3A836438"/>
    <w:rsid w:val="3A8429A0"/>
    <w:rsid w:val="3AEA295B"/>
    <w:rsid w:val="3AED7D56"/>
    <w:rsid w:val="3B0D0F39"/>
    <w:rsid w:val="3B1D4814"/>
    <w:rsid w:val="3BED2ADE"/>
    <w:rsid w:val="3C7C3A87"/>
    <w:rsid w:val="3C885735"/>
    <w:rsid w:val="3C9012E0"/>
    <w:rsid w:val="3CC05DD0"/>
    <w:rsid w:val="3D1C77D5"/>
    <w:rsid w:val="3D4A5933"/>
    <w:rsid w:val="3DB36D1B"/>
    <w:rsid w:val="3DBE2132"/>
    <w:rsid w:val="3DF7311B"/>
    <w:rsid w:val="3ED855D4"/>
    <w:rsid w:val="3F0F1D39"/>
    <w:rsid w:val="3F1233EA"/>
    <w:rsid w:val="3F854A01"/>
    <w:rsid w:val="3FD61246"/>
    <w:rsid w:val="3FFC1167"/>
    <w:rsid w:val="404F74B5"/>
    <w:rsid w:val="40BF2194"/>
    <w:rsid w:val="415A1923"/>
    <w:rsid w:val="417509F7"/>
    <w:rsid w:val="41A1116B"/>
    <w:rsid w:val="41A76EB0"/>
    <w:rsid w:val="42380450"/>
    <w:rsid w:val="42527D3F"/>
    <w:rsid w:val="42713537"/>
    <w:rsid w:val="428060AE"/>
    <w:rsid w:val="429A2DFF"/>
    <w:rsid w:val="42AB2039"/>
    <w:rsid w:val="42BC68B6"/>
    <w:rsid w:val="432B1D63"/>
    <w:rsid w:val="432E715D"/>
    <w:rsid w:val="43495316"/>
    <w:rsid w:val="436239D7"/>
    <w:rsid w:val="43947908"/>
    <w:rsid w:val="43C1733D"/>
    <w:rsid w:val="43C74361"/>
    <w:rsid w:val="43F6077C"/>
    <w:rsid w:val="43FD36FF"/>
    <w:rsid w:val="44383BDD"/>
    <w:rsid w:val="44461ED1"/>
    <w:rsid w:val="45185930"/>
    <w:rsid w:val="457F1EF2"/>
    <w:rsid w:val="458637C9"/>
    <w:rsid w:val="458D0A2C"/>
    <w:rsid w:val="45A030EC"/>
    <w:rsid w:val="45CB23C1"/>
    <w:rsid w:val="46274A64"/>
    <w:rsid w:val="46C531FB"/>
    <w:rsid w:val="46DA7D28"/>
    <w:rsid w:val="46F36279"/>
    <w:rsid w:val="471F1BDF"/>
    <w:rsid w:val="47B022A8"/>
    <w:rsid w:val="482665D7"/>
    <w:rsid w:val="482B6CCE"/>
    <w:rsid w:val="48684EBF"/>
    <w:rsid w:val="489108BA"/>
    <w:rsid w:val="489D725F"/>
    <w:rsid w:val="48EC4C8A"/>
    <w:rsid w:val="49033EA1"/>
    <w:rsid w:val="49886BFF"/>
    <w:rsid w:val="499637FE"/>
    <w:rsid w:val="499C7517"/>
    <w:rsid w:val="4A477482"/>
    <w:rsid w:val="4A6B6BE2"/>
    <w:rsid w:val="4ABD5996"/>
    <w:rsid w:val="4B7D0C82"/>
    <w:rsid w:val="4BB315F4"/>
    <w:rsid w:val="4BF76C86"/>
    <w:rsid w:val="4C3457E4"/>
    <w:rsid w:val="4C435E96"/>
    <w:rsid w:val="4C447326"/>
    <w:rsid w:val="4C547F7D"/>
    <w:rsid w:val="4C674AF5"/>
    <w:rsid w:val="4C797719"/>
    <w:rsid w:val="4CE31EA1"/>
    <w:rsid w:val="4CF43A5B"/>
    <w:rsid w:val="4CFB6302"/>
    <w:rsid w:val="4D115E11"/>
    <w:rsid w:val="4D6C0FAE"/>
    <w:rsid w:val="4DAC5E06"/>
    <w:rsid w:val="4DF06083"/>
    <w:rsid w:val="4DFB61FC"/>
    <w:rsid w:val="4E102281"/>
    <w:rsid w:val="4E47299C"/>
    <w:rsid w:val="4E6525CD"/>
    <w:rsid w:val="4E7437D5"/>
    <w:rsid w:val="4EF676C9"/>
    <w:rsid w:val="4F1C0D7A"/>
    <w:rsid w:val="50A82084"/>
    <w:rsid w:val="50C1268E"/>
    <w:rsid w:val="512D3F49"/>
    <w:rsid w:val="51334CB7"/>
    <w:rsid w:val="51AD7EB4"/>
    <w:rsid w:val="51DC0DF8"/>
    <w:rsid w:val="51DC173E"/>
    <w:rsid w:val="51E65D02"/>
    <w:rsid w:val="522956BF"/>
    <w:rsid w:val="522D216B"/>
    <w:rsid w:val="524A3FB4"/>
    <w:rsid w:val="5289543B"/>
    <w:rsid w:val="52CB182B"/>
    <w:rsid w:val="52DA7D38"/>
    <w:rsid w:val="530F33D5"/>
    <w:rsid w:val="531B4B18"/>
    <w:rsid w:val="532272D6"/>
    <w:rsid w:val="534E7B91"/>
    <w:rsid w:val="53EF6BF0"/>
    <w:rsid w:val="54096145"/>
    <w:rsid w:val="541A335E"/>
    <w:rsid w:val="54596730"/>
    <w:rsid w:val="54905ECA"/>
    <w:rsid w:val="54B576DE"/>
    <w:rsid w:val="54BE4CA1"/>
    <w:rsid w:val="54DE2DE2"/>
    <w:rsid w:val="54FF4546"/>
    <w:rsid w:val="552150F3"/>
    <w:rsid w:val="55555552"/>
    <w:rsid w:val="555D02CD"/>
    <w:rsid w:val="55774994"/>
    <w:rsid w:val="55D83684"/>
    <w:rsid w:val="55F36710"/>
    <w:rsid w:val="5630526E"/>
    <w:rsid w:val="56975989"/>
    <w:rsid w:val="56E31935"/>
    <w:rsid w:val="579B5EA8"/>
    <w:rsid w:val="57CB4B05"/>
    <w:rsid w:val="589207A4"/>
    <w:rsid w:val="58AE2DC2"/>
    <w:rsid w:val="58C00850"/>
    <w:rsid w:val="58DF37A3"/>
    <w:rsid w:val="591075D9"/>
    <w:rsid w:val="59380949"/>
    <w:rsid w:val="59C363FA"/>
    <w:rsid w:val="5A3966BC"/>
    <w:rsid w:val="5A470DD9"/>
    <w:rsid w:val="5A61633E"/>
    <w:rsid w:val="5AF4204A"/>
    <w:rsid w:val="5B545E5B"/>
    <w:rsid w:val="5BC41990"/>
    <w:rsid w:val="5BEF2C11"/>
    <w:rsid w:val="5C036F81"/>
    <w:rsid w:val="5C0F21BC"/>
    <w:rsid w:val="5C380F5A"/>
    <w:rsid w:val="5C761E49"/>
    <w:rsid w:val="5CB84210"/>
    <w:rsid w:val="5CC93458"/>
    <w:rsid w:val="5CCA789B"/>
    <w:rsid w:val="5CD24065"/>
    <w:rsid w:val="5D1458EA"/>
    <w:rsid w:val="5D570FA6"/>
    <w:rsid w:val="5DC303A0"/>
    <w:rsid w:val="5DCA244C"/>
    <w:rsid w:val="5E032F72"/>
    <w:rsid w:val="5E372C58"/>
    <w:rsid w:val="5E3D75FD"/>
    <w:rsid w:val="5E482B68"/>
    <w:rsid w:val="5E776A60"/>
    <w:rsid w:val="5E802B0B"/>
    <w:rsid w:val="5E892B2C"/>
    <w:rsid w:val="5ECC2455"/>
    <w:rsid w:val="5F0A0E0B"/>
    <w:rsid w:val="5F6B30AD"/>
    <w:rsid w:val="5F942FDA"/>
    <w:rsid w:val="5FBC7B73"/>
    <w:rsid w:val="5FD67D35"/>
    <w:rsid w:val="601C4AB5"/>
    <w:rsid w:val="607C384C"/>
    <w:rsid w:val="615D7134"/>
    <w:rsid w:val="620A72BB"/>
    <w:rsid w:val="62145A44"/>
    <w:rsid w:val="631303F2"/>
    <w:rsid w:val="632C4897"/>
    <w:rsid w:val="633D546F"/>
    <w:rsid w:val="634F7CC4"/>
    <w:rsid w:val="638A3780"/>
    <w:rsid w:val="63B57325"/>
    <w:rsid w:val="64343F4C"/>
    <w:rsid w:val="644D348F"/>
    <w:rsid w:val="64F66DBB"/>
    <w:rsid w:val="650A5824"/>
    <w:rsid w:val="65932756"/>
    <w:rsid w:val="65DD6613"/>
    <w:rsid w:val="65E505B2"/>
    <w:rsid w:val="65F008F8"/>
    <w:rsid w:val="670A69AD"/>
    <w:rsid w:val="671E5D34"/>
    <w:rsid w:val="67A41618"/>
    <w:rsid w:val="67A83174"/>
    <w:rsid w:val="68012F0F"/>
    <w:rsid w:val="68C33D20"/>
    <w:rsid w:val="697729C7"/>
    <w:rsid w:val="69BA52E5"/>
    <w:rsid w:val="6A260A0B"/>
    <w:rsid w:val="6A5E5EC5"/>
    <w:rsid w:val="6A7865E6"/>
    <w:rsid w:val="6A841BD5"/>
    <w:rsid w:val="6AA04C71"/>
    <w:rsid w:val="6B0A1E2C"/>
    <w:rsid w:val="6B15282D"/>
    <w:rsid w:val="6B361121"/>
    <w:rsid w:val="6BA94BEE"/>
    <w:rsid w:val="6BE741CA"/>
    <w:rsid w:val="6C5B24B4"/>
    <w:rsid w:val="6C8D4C02"/>
    <w:rsid w:val="6CD009DE"/>
    <w:rsid w:val="6CD06CF5"/>
    <w:rsid w:val="6CD56CEF"/>
    <w:rsid w:val="6CE801F9"/>
    <w:rsid w:val="6D413DAD"/>
    <w:rsid w:val="6DD3596A"/>
    <w:rsid w:val="6E3851B0"/>
    <w:rsid w:val="6E496533"/>
    <w:rsid w:val="6E4F1074"/>
    <w:rsid w:val="6E5A0DBD"/>
    <w:rsid w:val="6E62222D"/>
    <w:rsid w:val="6E873AFE"/>
    <w:rsid w:val="6EBA7973"/>
    <w:rsid w:val="6EC627BC"/>
    <w:rsid w:val="6ECE1133"/>
    <w:rsid w:val="6EF121B8"/>
    <w:rsid w:val="6F6478E1"/>
    <w:rsid w:val="702D0210"/>
    <w:rsid w:val="70341FE8"/>
    <w:rsid w:val="70696F55"/>
    <w:rsid w:val="707F4466"/>
    <w:rsid w:val="71236F3D"/>
    <w:rsid w:val="71581BF0"/>
    <w:rsid w:val="715B31D5"/>
    <w:rsid w:val="71621BD1"/>
    <w:rsid w:val="71755DD4"/>
    <w:rsid w:val="71E511AB"/>
    <w:rsid w:val="723637B5"/>
    <w:rsid w:val="73196236"/>
    <w:rsid w:val="737E3B89"/>
    <w:rsid w:val="73816CB2"/>
    <w:rsid w:val="73835578"/>
    <w:rsid w:val="73EB1AD4"/>
    <w:rsid w:val="73F41B79"/>
    <w:rsid w:val="74027292"/>
    <w:rsid w:val="74213B7A"/>
    <w:rsid w:val="7447614D"/>
    <w:rsid w:val="746F7452"/>
    <w:rsid w:val="748F408B"/>
    <w:rsid w:val="74B85EE0"/>
    <w:rsid w:val="74BF03A7"/>
    <w:rsid w:val="74F31BEB"/>
    <w:rsid w:val="750F72AD"/>
    <w:rsid w:val="752244C4"/>
    <w:rsid w:val="75241FEA"/>
    <w:rsid w:val="75E55C1E"/>
    <w:rsid w:val="75F419BD"/>
    <w:rsid w:val="76051E1C"/>
    <w:rsid w:val="765D0A2F"/>
    <w:rsid w:val="76636B42"/>
    <w:rsid w:val="76AE6010"/>
    <w:rsid w:val="76C36A5B"/>
    <w:rsid w:val="76D0516B"/>
    <w:rsid w:val="76DD4B47"/>
    <w:rsid w:val="76FE5951"/>
    <w:rsid w:val="77522E58"/>
    <w:rsid w:val="77D5581E"/>
    <w:rsid w:val="77DC18CC"/>
    <w:rsid w:val="780E3F46"/>
    <w:rsid w:val="787E7BA9"/>
    <w:rsid w:val="78A340A5"/>
    <w:rsid w:val="78A5367B"/>
    <w:rsid w:val="79675392"/>
    <w:rsid w:val="79893C49"/>
    <w:rsid w:val="79BD665B"/>
    <w:rsid w:val="79D57D57"/>
    <w:rsid w:val="79E719E4"/>
    <w:rsid w:val="79E8198A"/>
    <w:rsid w:val="7A106FE1"/>
    <w:rsid w:val="7A2111EE"/>
    <w:rsid w:val="7A293BFF"/>
    <w:rsid w:val="7A540C7C"/>
    <w:rsid w:val="7AAC6D0A"/>
    <w:rsid w:val="7ABC54D3"/>
    <w:rsid w:val="7AC026A2"/>
    <w:rsid w:val="7AE70BDE"/>
    <w:rsid w:val="7AFD1314"/>
    <w:rsid w:val="7B191EC6"/>
    <w:rsid w:val="7B24244C"/>
    <w:rsid w:val="7B517E8A"/>
    <w:rsid w:val="7B5F70F1"/>
    <w:rsid w:val="7B7570F3"/>
    <w:rsid w:val="7BD02097"/>
    <w:rsid w:val="7C461E52"/>
    <w:rsid w:val="7C765821"/>
    <w:rsid w:val="7CD952EB"/>
    <w:rsid w:val="7D014534"/>
    <w:rsid w:val="7D8675E3"/>
    <w:rsid w:val="7DCB394B"/>
    <w:rsid w:val="7DCC321F"/>
    <w:rsid w:val="7DE40569"/>
    <w:rsid w:val="7DF80CC1"/>
    <w:rsid w:val="7E0806FB"/>
    <w:rsid w:val="7E0B01EB"/>
    <w:rsid w:val="7E105802"/>
    <w:rsid w:val="7E635932"/>
    <w:rsid w:val="7E6C128B"/>
    <w:rsid w:val="7E747B3F"/>
    <w:rsid w:val="7EA0503D"/>
    <w:rsid w:val="7EB05F55"/>
    <w:rsid w:val="7EB911D7"/>
    <w:rsid w:val="7ECF3FA0"/>
    <w:rsid w:val="7ED20D09"/>
    <w:rsid w:val="7EDC7492"/>
    <w:rsid w:val="7F0B240B"/>
    <w:rsid w:val="7F712AF3"/>
    <w:rsid w:val="7FDA60C7"/>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Lines="50" w:afterLines="50"/>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after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autoRedefine/>
    <w:qFormat/>
    <w:uiPriority w:val="0"/>
    <w:pPr>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62"/>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hAnsi="Times New Roman" w:eastAsia="黑体" w:cs="Times New Roman"/>
      <w:sz w:val="21"/>
      <w:lang w:val="en-US" w:eastAsia="zh-CN" w:bidi="ar-SA"/>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character" w:customStyle="1" w:styleId="262">
    <w:name w:val="标准文件_注： Char"/>
    <w:link w:val="183"/>
    <w:qFormat/>
    <w:uiPriority w:val="0"/>
    <w:rPr>
      <w:rFonts w:ascii="宋体" w:hAnsi="Times New Roman" w:eastAsia="宋体" w:cs="Times New Roman"/>
      <w:sz w:val="18"/>
      <w:szCs w:val="18"/>
      <w:lang w:val="en-US" w:eastAsia="zh-CN" w:bidi="ar-SA"/>
    </w:rPr>
  </w:style>
  <w:style w:type="paragraph" w:customStyle="1" w:styleId="263">
    <w:name w:val="表格文字"/>
    <w:basedOn w:val="60"/>
    <w:autoRedefine/>
    <w:qFormat/>
    <w:uiPriority w:val="0"/>
    <w:pPr>
      <w:ind w:firstLine="0" w:firstLineChars="0"/>
      <w:jc w:val="center"/>
    </w:pPr>
    <w:rPr>
      <w:sz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glossaryDocument" Target="glossary/document.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jpe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7A170977">
          <w:pPr>
            <w:pStyle w:val="5"/>
            <w:rPr>
              <w:rFonts w:hint="eastAsia"/>
            </w:rPr>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0A072356">
          <w:pPr>
            <w:pStyle w:val="6"/>
            <w:rPr>
              <w:rFonts w:hint="eastAsia"/>
            </w:rPr>
          </w:pPr>
          <w:r>
            <w:rPr>
              <w:rStyle w:val="4"/>
              <w:rFonts w:hint="eastAsia"/>
            </w:rPr>
            <w:t>选择一项。</w:t>
          </w:r>
        </w:p>
      </w:docPartBody>
    </w:docPart>
    <w:docPart>
      <w:docPartPr>
        <w:name w:val="{2fd3ac0d-6880-44e5-a5b8-3b35814c86b5}"/>
        <w:style w:val=""/>
        <w:category>
          <w:name w:val="常规"/>
          <w:gallery w:val="placeholder"/>
        </w:category>
        <w:types>
          <w:type w:val="bbPlcHdr"/>
        </w:types>
        <w:behaviors>
          <w:behavior w:val="content"/>
        </w:behaviors>
        <w:description w:val=""/>
        <w:guid w:val="{2FD3AC0D-6880-44E5-A5B8-3B35814C86B5}"/>
      </w:docPartPr>
      <w:docPartBody>
        <w:p w14:paraId="1DDCC51C">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EC57C0"/>
    <w:rsid w:val="0001420D"/>
    <w:rsid w:val="0004716D"/>
    <w:rsid w:val="00054617"/>
    <w:rsid w:val="000B2816"/>
    <w:rsid w:val="000D0DF4"/>
    <w:rsid w:val="000F721E"/>
    <w:rsid w:val="00122383"/>
    <w:rsid w:val="00124EF0"/>
    <w:rsid w:val="001613CD"/>
    <w:rsid w:val="001678BC"/>
    <w:rsid w:val="0017532E"/>
    <w:rsid w:val="00181D60"/>
    <w:rsid w:val="001B4854"/>
    <w:rsid w:val="001C703A"/>
    <w:rsid w:val="00233E0B"/>
    <w:rsid w:val="00245410"/>
    <w:rsid w:val="00247E02"/>
    <w:rsid w:val="00250CE1"/>
    <w:rsid w:val="00252617"/>
    <w:rsid w:val="00257F65"/>
    <w:rsid w:val="00292364"/>
    <w:rsid w:val="002A34EB"/>
    <w:rsid w:val="002A42F2"/>
    <w:rsid w:val="002B203B"/>
    <w:rsid w:val="002E79D5"/>
    <w:rsid w:val="00335557"/>
    <w:rsid w:val="00344A6E"/>
    <w:rsid w:val="003568E3"/>
    <w:rsid w:val="003609A4"/>
    <w:rsid w:val="003A430A"/>
    <w:rsid w:val="003B0594"/>
    <w:rsid w:val="004262C1"/>
    <w:rsid w:val="004709A1"/>
    <w:rsid w:val="0048438C"/>
    <w:rsid w:val="00506EFF"/>
    <w:rsid w:val="00552166"/>
    <w:rsid w:val="005662EB"/>
    <w:rsid w:val="00583AAB"/>
    <w:rsid w:val="00593537"/>
    <w:rsid w:val="00615B61"/>
    <w:rsid w:val="006468C2"/>
    <w:rsid w:val="006642AD"/>
    <w:rsid w:val="00666D88"/>
    <w:rsid w:val="00672F74"/>
    <w:rsid w:val="00685923"/>
    <w:rsid w:val="007C3E32"/>
    <w:rsid w:val="007D2C4A"/>
    <w:rsid w:val="00813842"/>
    <w:rsid w:val="008256CB"/>
    <w:rsid w:val="00832824"/>
    <w:rsid w:val="008729C1"/>
    <w:rsid w:val="00883250"/>
    <w:rsid w:val="0091351B"/>
    <w:rsid w:val="00916263"/>
    <w:rsid w:val="009862F8"/>
    <w:rsid w:val="00997226"/>
    <w:rsid w:val="009E760A"/>
    <w:rsid w:val="00A16A80"/>
    <w:rsid w:val="00A67B89"/>
    <w:rsid w:val="00A854CF"/>
    <w:rsid w:val="00B22FC1"/>
    <w:rsid w:val="00BA077C"/>
    <w:rsid w:val="00BA51CF"/>
    <w:rsid w:val="00BC3695"/>
    <w:rsid w:val="00C0640D"/>
    <w:rsid w:val="00C96FD9"/>
    <w:rsid w:val="00CA724C"/>
    <w:rsid w:val="00CD2C45"/>
    <w:rsid w:val="00CE472C"/>
    <w:rsid w:val="00D22C93"/>
    <w:rsid w:val="00D434AD"/>
    <w:rsid w:val="00D76227"/>
    <w:rsid w:val="00D84024"/>
    <w:rsid w:val="00D9103D"/>
    <w:rsid w:val="00D97AA5"/>
    <w:rsid w:val="00DF7A33"/>
    <w:rsid w:val="00E12032"/>
    <w:rsid w:val="00E6509C"/>
    <w:rsid w:val="00EB47CC"/>
    <w:rsid w:val="00EC57C0"/>
    <w:rsid w:val="00F204AA"/>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EA62E24E69DD4534A04D231F0F11B5A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f4079181-6021-4df1-994a-e46c3237af2c</errorID>
      <errorWord>：。</errorWord>
      <group>L1_Punc</group>
      <groupName>标点问题</groupName>
      <ability>L2_Punc</ability>
      <abilityName>标点符号检查</abilityName>
      <candidateList>
        <item>：</item>
      </candidateList>
      <explain/>
      <paraID>13C362EE</paraID>
      <start>7</start>
      <end>9</end>
      <status>unmodified</status>
      <modifiedWord/>
      <trackRevisions>false</trackRevisions>
    </reviewItem>
    <reviewItem>
      <errorID>992ecf6f-f70e-43ea-a783-16255de161a0</errorID>
      <errorWord>：。</errorWord>
      <group>L1_Punc</group>
      <groupName>标点问题</groupName>
      <ability>L2_Punc</ability>
      <abilityName>标点符号检查</abilityName>
      <candidateList>
        <item>：</item>
      </candidateList>
      <explain/>
      <paraID>49B6FF94</paraID>
      <start>8</start>
      <end>10</end>
      <status>unmodified</status>
      <modifiedWord/>
      <trackRevisions>false</trackRevisions>
    </reviewItem>
    <reviewItem>
      <errorID>82da9c08-9dfc-441a-8b9c-c27ecf42b0ff</errorID>
      <errorWord>,</errorWord>
      <group>L1_Format</group>
      <groupName>格式问题</groupName>
      <ability>L2_HalfPunc</ability>
      <abilityName>全半角检查</abilityName>
      <candidateList>
        <item>，</item>
      </candidateList>
      <explain>文本全半角错误。</explain>
      <paraID>263E9497</paraID>
      <start>71</start>
      <end>72</end>
      <status>unmodified</status>
      <modifiedWord/>
      <trackRevisions>false</trackRevisions>
    </reviewItem>
    <reviewItem>
      <errorID>ad0d7cb7-db1f-4a5d-90ae-e884fcd8bd5c</errorID>
      <errorWord>干</errorWord>
      <group>L1_Word</group>
      <groupName>字词问题</groupName>
      <ability>L2_Typo</ability>
      <abilityName>字词错误</abilityName>
      <candidateList>
        <item>并</item>
      </candidateList>
      <explain>存在字形相近字词的误用。</explain>
      <paraID>1D11EAB3</paraID>
      <start>57</start>
      <end>58</end>
      <status>modified</status>
      <modifiedWord>并</modifiedWord>
      <trackRevisions>false</trackRevisions>
    </reviewItem>
    <reviewItem>
      <errorID>aace7250-4627-4065-b8b7-4ff50ee51456</errorID>
      <errorWord>（</errorWord>
      <group>L1_Format</group>
      <groupName>格式问题</groupName>
      <ability>L2_HalfPunc</ability>
      <abilityName>全半角检查</abilityName>
      <candidateList>
        <item>(</item>
      </candidateList>
      <explain>文本全半角错误。</explain>
      <paraID>2599F39E</paraID>
      <start>81</start>
      <end>82</end>
      <status>unmodified</status>
      <modifiedWord/>
      <trackRevisions>false</trackRevisions>
    </reviewItem>
    <reviewItem>
      <errorID>efcb502e-e262-41aa-b8ac-a4791ab4df9e</errorID>
      <errorWord>）</errorWord>
      <group>L1_Format</group>
      <groupName>格式问题</groupName>
      <ability>L2_HalfPunc</ability>
      <abilityName>全半角检查</abilityName>
      <candidateList>
        <item>)</item>
      </candidateList>
      <explain>文本全半角错误。</explain>
      <paraID>2599F39E</paraID>
      <start>83</start>
      <end>84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836eb-6b1c-4948-80b1-56820c33b12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9</Pages>
  <Words>3964</Words>
  <Characters>4640</Characters>
  <Lines>53</Lines>
  <Paragraphs>15</Paragraphs>
  <TotalTime>0</TotalTime>
  <ScaleCrop>false</ScaleCrop>
  <LinksUpToDate>false</LinksUpToDate>
  <CharactersWithSpaces>4806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2022-02-14T01:11:00Z</dcterms:created>
  <dc:creator>ZHH</dc:creator>
  <dc:description>&lt;config cover="true" show_menu="true" version="1.0.0" doctype="SDKXY"&gt;_x000d_
&lt;/config&gt;</dc:description>
  <cp:lastModifiedBy>标准部--李佳旭</cp:lastModifiedBy>
  <cp:lastPrinted>2023-10-19T05:03:00Z</cp:lastPrinted>
  <dcterms:modified xsi:type="dcterms:W3CDTF">2026-05-11T06:48:05Z</dcterms:modified>
  <dc:title>团体标准</dc:title>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60E850345F9C480C88A9FD2D73D08E0D_13</vt:lpwstr>
  </property>
  <property fmtid="{D5CDD505-2E9C-101B-9397-08002B2CF9AE}" pid="16" name="KSOTemplateDocerSaveRecord">
    <vt:lpwstr>eyJoZGlkIjoiMjQ2ZTA4YjVlM2RhY2MzNDBlZDIzZmY3YTlmMTk4Y2IiLCJ1c2VySWQiOiI2Nzg0MTk3MDUifQ==</vt:lpwstr>
  </property>
</Properties>
</file>